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24DA" w:rsidRDefault="00C724DA" w14:paraId="06C3F684" w14:textId="77777777">
      <w:pPr>
        <w:rPr>
          <w:b/>
          <w:bCs/>
        </w:rPr>
      </w:pPr>
    </w:p>
    <w:p w:rsidR="00C724DA" w:rsidRDefault="00C724DA" w14:paraId="4FA5F71F" w14:textId="77777777">
      <w:pPr>
        <w:rPr>
          <w:b/>
          <w:bCs/>
        </w:rPr>
      </w:pPr>
    </w:p>
    <w:p w:rsidR="00C724DA" w:rsidRDefault="00C724DA" w14:paraId="65654CCB" w14:textId="77777777">
      <w:pPr>
        <w:rPr>
          <w:b/>
          <w:bCs/>
        </w:rPr>
      </w:pPr>
    </w:p>
    <w:p w:rsidR="00C724DA" w:rsidRDefault="00C724DA" w14:paraId="02674A85" w14:textId="77777777">
      <w:pPr>
        <w:rPr>
          <w:b/>
          <w:bCs/>
        </w:rPr>
      </w:pPr>
    </w:p>
    <w:p w:rsidR="00C724DA" w:rsidRDefault="00C724DA" w14:paraId="25F4F376" w14:textId="77777777">
      <w:pPr>
        <w:rPr>
          <w:b/>
          <w:bCs/>
        </w:rPr>
      </w:pPr>
    </w:p>
    <w:p w:rsidR="00C724DA" w:rsidP="00C724DA" w:rsidRDefault="00C724DA" w14:paraId="58BDC123" w14:textId="33F22962">
      <w:pPr>
        <w:jc w:val="center"/>
        <w:rPr>
          <w:b/>
          <w:bCs/>
        </w:rPr>
      </w:pPr>
      <w:r>
        <w:rPr>
          <w:b/>
          <w:bCs/>
        </w:rPr>
        <w:t>American College of Bankruptcy</w:t>
      </w:r>
    </w:p>
    <w:p w:rsidR="00864B8E" w:rsidP="00C724DA" w:rsidRDefault="00864B8E" w14:paraId="6C2A5171" w14:textId="2E8348C6">
      <w:pPr>
        <w:jc w:val="center"/>
        <w:rPr>
          <w:b/>
          <w:bCs/>
        </w:rPr>
      </w:pPr>
    </w:p>
    <w:p w:rsidR="00864B8E" w:rsidP="00C724DA" w:rsidRDefault="00864B8E" w14:paraId="7D8B9CFB" w14:textId="1436BA24">
      <w:pPr>
        <w:jc w:val="center"/>
      </w:pPr>
      <w:r>
        <w:rPr>
          <w:b/>
          <w:bCs/>
        </w:rPr>
        <w:t>Seventh Circuit Educational Seminar</w:t>
      </w:r>
    </w:p>
    <w:p w:rsidR="00C724DA" w:rsidP="00C724DA" w:rsidRDefault="00C724DA" w14:paraId="6716F3B7" w14:textId="77777777">
      <w:pPr>
        <w:jc w:val="center"/>
      </w:pPr>
    </w:p>
    <w:p w:rsidR="00C724DA" w:rsidP="00C724DA" w:rsidRDefault="00C724DA" w14:paraId="2827AACE" w14:textId="77777777">
      <w:pPr>
        <w:jc w:val="center"/>
      </w:pPr>
    </w:p>
    <w:p w:rsidR="00C724DA" w:rsidP="00C724DA" w:rsidRDefault="00845A83" w14:paraId="71C82541" w14:textId="39CC1675">
      <w:pPr>
        <w:jc w:val="center"/>
        <w:rPr>
          <w:b/>
          <w:bCs/>
        </w:rPr>
      </w:pPr>
      <w:r>
        <w:rPr>
          <w:b/>
          <w:bCs/>
          <w:u w:val="single"/>
        </w:rPr>
        <w:t>Ethical Issues in</w:t>
      </w:r>
      <w:r w:rsidR="00C724DA">
        <w:rPr>
          <w:b/>
          <w:bCs/>
          <w:u w:val="single"/>
        </w:rPr>
        <w:t xml:space="preserve"> Involuntary Bankruptcy Cases</w:t>
      </w:r>
    </w:p>
    <w:p w:rsidR="00C724DA" w:rsidP="00C724DA" w:rsidRDefault="00C724DA" w14:paraId="07F2AE17" w14:textId="77777777">
      <w:pPr>
        <w:jc w:val="center"/>
        <w:rPr>
          <w:b/>
          <w:bCs/>
        </w:rPr>
      </w:pPr>
    </w:p>
    <w:p w:rsidR="00C724DA" w:rsidP="00C724DA" w:rsidRDefault="00C724DA" w14:paraId="11FE4FBB" w14:textId="51DDD8E2">
      <w:pPr>
        <w:jc w:val="center"/>
        <w:rPr>
          <w:b/>
          <w:bCs/>
        </w:rPr>
      </w:pPr>
    </w:p>
    <w:p w:rsidR="00864B8E" w:rsidP="00C724DA" w:rsidRDefault="00864B8E" w14:paraId="46D62B72" w14:textId="214D89FC">
      <w:pPr>
        <w:jc w:val="center"/>
        <w:rPr>
          <w:b/>
          <w:bCs/>
        </w:rPr>
      </w:pPr>
    </w:p>
    <w:p w:rsidR="00864B8E" w:rsidP="00864B8E" w:rsidRDefault="00864B8E" w14:paraId="26CC1B64" w14:textId="28F66A39">
      <w:pPr>
        <w:jc w:val="center"/>
        <w:rPr>
          <w:b/>
          <w:bCs/>
        </w:rPr>
      </w:pPr>
      <w:r>
        <w:rPr>
          <w:b/>
          <w:bCs/>
        </w:rPr>
        <w:t>Moderator:</w:t>
      </w:r>
    </w:p>
    <w:p w:rsidR="00864B8E" w:rsidP="00864B8E" w:rsidRDefault="00864B8E" w14:paraId="1055E5E0" w14:textId="77777777">
      <w:pPr>
        <w:jc w:val="center"/>
        <w:rPr>
          <w:b/>
          <w:bCs/>
        </w:rPr>
      </w:pPr>
    </w:p>
    <w:p w:rsidRPr="00864B8E" w:rsidR="00864B8E" w:rsidP="00C724DA" w:rsidRDefault="00864B8E" w14:paraId="2F6A6B83" w14:textId="77777777">
      <w:pPr>
        <w:jc w:val="center"/>
        <w:rPr>
          <w:b/>
          <w:bCs/>
        </w:rPr>
      </w:pPr>
      <w:r w:rsidRPr="00864B8E">
        <w:rPr>
          <w:b/>
          <w:bCs/>
        </w:rPr>
        <w:t>Professor Adrian Walters</w:t>
      </w:r>
    </w:p>
    <w:p w:rsidRPr="00864B8E" w:rsidR="00864B8E" w:rsidP="00C724DA" w:rsidRDefault="00864B8E" w14:paraId="2368EF50" w14:textId="7FD87E18">
      <w:pPr>
        <w:jc w:val="center"/>
        <w:rPr>
          <w:b/>
          <w:bCs/>
        </w:rPr>
      </w:pPr>
      <w:r w:rsidRPr="00864B8E">
        <w:rPr>
          <w:b/>
          <w:bCs/>
        </w:rPr>
        <w:t>IIT Chicago-Kent College of Law</w:t>
      </w:r>
    </w:p>
    <w:p w:rsidR="00864B8E" w:rsidP="00C724DA" w:rsidRDefault="00864B8E" w14:paraId="39097D84" w14:textId="64B9ADAC">
      <w:pPr>
        <w:jc w:val="center"/>
        <w:rPr>
          <w:b/>
          <w:bCs/>
        </w:rPr>
      </w:pPr>
    </w:p>
    <w:p w:rsidR="00864B8E" w:rsidP="00C724DA" w:rsidRDefault="00864B8E" w14:paraId="4248822A" w14:textId="72B66790">
      <w:pPr>
        <w:jc w:val="center"/>
        <w:rPr>
          <w:b/>
          <w:bCs/>
        </w:rPr>
      </w:pPr>
    </w:p>
    <w:p w:rsidR="00864B8E" w:rsidP="00C724DA" w:rsidRDefault="00864B8E" w14:paraId="5AAFE524" w14:textId="77777777">
      <w:pPr>
        <w:jc w:val="center"/>
        <w:rPr>
          <w:b/>
          <w:bCs/>
        </w:rPr>
      </w:pPr>
    </w:p>
    <w:p w:rsidR="00864B8E" w:rsidP="00C724DA" w:rsidRDefault="00864B8E" w14:paraId="2115A420" w14:textId="0F1EABCC">
      <w:pPr>
        <w:jc w:val="center"/>
        <w:rPr>
          <w:b/>
          <w:bCs/>
        </w:rPr>
      </w:pPr>
      <w:r>
        <w:rPr>
          <w:b/>
          <w:bCs/>
        </w:rPr>
        <w:t>Panelists:</w:t>
      </w:r>
    </w:p>
    <w:p w:rsidR="00864B8E" w:rsidP="00C724DA" w:rsidRDefault="00864B8E" w14:paraId="26B15B4C" w14:textId="7D083032">
      <w:pPr>
        <w:jc w:val="center"/>
        <w:rPr>
          <w:b/>
          <w:bCs/>
        </w:rPr>
      </w:pPr>
    </w:p>
    <w:p w:rsidRPr="00864B8E" w:rsidR="00864B8E" w:rsidP="00864B8E" w:rsidRDefault="00864B8E" w14:paraId="596AE13F" w14:textId="77777777">
      <w:pPr>
        <w:jc w:val="center"/>
        <w:rPr>
          <w:b/>
          <w:bCs/>
        </w:rPr>
      </w:pPr>
      <w:r w:rsidRPr="00864B8E">
        <w:rPr>
          <w:b/>
          <w:bCs/>
        </w:rPr>
        <w:t>Howard L. Adelman</w:t>
      </w:r>
    </w:p>
    <w:p w:rsidRPr="00864B8E" w:rsidR="00864B8E" w:rsidP="00864B8E" w:rsidRDefault="00864B8E" w14:paraId="3A5D343F" w14:textId="70752720">
      <w:pPr>
        <w:jc w:val="center"/>
        <w:rPr>
          <w:b/>
          <w:bCs/>
        </w:rPr>
      </w:pPr>
      <w:r w:rsidRPr="00864B8E">
        <w:rPr>
          <w:b/>
          <w:bCs/>
        </w:rPr>
        <w:t>Adelman &amp; Gettleman, Ltd</w:t>
      </w:r>
    </w:p>
    <w:p w:rsidR="00864B8E" w:rsidP="00864B8E" w:rsidRDefault="00864B8E" w14:paraId="5095BABF" w14:textId="77777777">
      <w:pPr>
        <w:jc w:val="center"/>
        <w:rPr>
          <w:b/>
          <w:bCs/>
        </w:rPr>
      </w:pPr>
    </w:p>
    <w:p w:rsidRPr="00864B8E" w:rsidR="00864B8E" w:rsidP="00864B8E" w:rsidRDefault="00864B8E" w14:paraId="05888F6E" w14:textId="248E3396">
      <w:pPr>
        <w:jc w:val="center"/>
        <w:rPr>
          <w:b/>
          <w:bCs/>
        </w:rPr>
      </w:pPr>
      <w:r w:rsidRPr="00864B8E">
        <w:rPr>
          <w:b/>
          <w:bCs/>
        </w:rPr>
        <w:t>David M. Neff</w:t>
      </w:r>
    </w:p>
    <w:p w:rsidRPr="00864B8E" w:rsidR="00864B8E" w:rsidP="00864B8E" w:rsidRDefault="00864B8E" w14:paraId="6AF06761" w14:textId="3AD481E9">
      <w:pPr>
        <w:jc w:val="center"/>
        <w:rPr>
          <w:b/>
          <w:bCs/>
        </w:rPr>
      </w:pPr>
      <w:r w:rsidRPr="00864B8E">
        <w:rPr>
          <w:b/>
          <w:bCs/>
        </w:rPr>
        <w:t>Perkins Coie, LLP</w:t>
      </w:r>
    </w:p>
    <w:p w:rsidR="00864B8E" w:rsidP="00864B8E" w:rsidRDefault="00864B8E" w14:paraId="1B28FB53" w14:textId="0E3E65AA">
      <w:pPr>
        <w:jc w:val="center"/>
        <w:rPr>
          <w:b/>
          <w:bCs/>
        </w:rPr>
      </w:pPr>
    </w:p>
    <w:p w:rsidR="00864B8E" w:rsidP="00864B8E" w:rsidRDefault="00864B8E" w14:paraId="0ACEDB51" w14:textId="77777777">
      <w:pPr>
        <w:jc w:val="center"/>
        <w:rPr>
          <w:b/>
          <w:bCs/>
        </w:rPr>
      </w:pPr>
    </w:p>
    <w:p w:rsidR="00864B8E" w:rsidP="00864B8E" w:rsidRDefault="00864B8E" w14:paraId="4090CC9D" w14:textId="775AA171">
      <w:pPr>
        <w:jc w:val="center"/>
        <w:rPr>
          <w:b/>
          <w:bCs/>
        </w:rPr>
      </w:pPr>
      <w:r>
        <w:rPr>
          <w:b/>
          <w:bCs/>
        </w:rPr>
        <w:t>Nancy A. Peterman</w:t>
      </w:r>
    </w:p>
    <w:p w:rsidR="00864B8E" w:rsidP="00864B8E" w:rsidRDefault="00864B8E" w14:paraId="0E068ABD" w14:textId="77777777">
      <w:pPr>
        <w:jc w:val="center"/>
        <w:rPr>
          <w:b/>
          <w:bCs/>
        </w:rPr>
      </w:pPr>
      <w:r>
        <w:rPr>
          <w:b/>
          <w:bCs/>
        </w:rPr>
        <w:t>Greenberg Traurig, LLP</w:t>
      </w:r>
    </w:p>
    <w:p w:rsidR="00864B8E" w:rsidP="00C724DA" w:rsidRDefault="00864B8E" w14:paraId="3E2DFA35" w14:textId="77777777">
      <w:pPr>
        <w:jc w:val="center"/>
        <w:rPr>
          <w:b/>
          <w:bCs/>
        </w:rPr>
      </w:pPr>
    </w:p>
    <w:p w:rsidR="00845A83" w:rsidP="00845A83" w:rsidRDefault="00845A83" w14:paraId="701F36A5" w14:textId="77777777">
      <w:pPr>
        <w:rPr>
          <w:u w:val="single"/>
        </w:rPr>
      </w:pPr>
    </w:p>
    <w:p w:rsidR="00845A83" w:rsidP="00845A83" w:rsidRDefault="00845A83" w14:paraId="6DF07EB4" w14:textId="77777777">
      <w:pPr>
        <w:rPr>
          <w:u w:val="single"/>
        </w:rPr>
      </w:pPr>
    </w:p>
    <w:p w:rsidRPr="00845A83" w:rsidR="00845A83" w:rsidP="00845A83" w:rsidRDefault="00845A83" w14:paraId="2EB9F8D8" w14:textId="56E2B245"/>
    <w:p w:rsidRPr="00C724DA" w:rsidR="00845A83" w:rsidP="00864B8E" w:rsidRDefault="00845A83" w14:paraId="04FC06BD" w14:textId="50DC4F17">
      <w:pPr>
        <w:rPr>
          <w:b/>
          <w:bCs/>
        </w:rPr>
        <w:sectPr w:rsidRPr="00C724DA" w:rsidR="00845A83" w:rsidSect="00BA197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rsidR="00177C5F" w:rsidRDefault="00177C5F" w14:paraId="1568555C" w14:textId="5E9F5B93"/>
    <w:p w:rsidRPr="00864B8E" w:rsidR="00AB4CE1" w:rsidP="00177C5F" w:rsidRDefault="00864B8E" w14:paraId="3FC69510" w14:textId="41BFC432">
      <w:pPr>
        <w:pStyle w:val="ListParagraph"/>
        <w:numPr>
          <w:ilvl w:val="0"/>
          <w:numId w:val="1"/>
        </w:numPr>
        <w:rPr>
          <w:b/>
          <w:bCs/>
        </w:rPr>
      </w:pPr>
      <w:r w:rsidRPr="00864B8E">
        <w:rPr>
          <w:b/>
          <w:bCs/>
        </w:rPr>
        <w:t xml:space="preserve">General </w:t>
      </w:r>
      <w:r w:rsidRPr="00864B8E" w:rsidR="00AB4CE1">
        <w:rPr>
          <w:b/>
          <w:bCs/>
        </w:rPr>
        <w:t xml:space="preserve">Overview of Involuntary </w:t>
      </w:r>
      <w:r w:rsidRPr="00864B8E">
        <w:rPr>
          <w:b/>
          <w:bCs/>
        </w:rPr>
        <w:t xml:space="preserve">Bankruptcy </w:t>
      </w:r>
      <w:r w:rsidRPr="00864B8E" w:rsidR="00AB4CE1">
        <w:rPr>
          <w:b/>
          <w:bCs/>
        </w:rPr>
        <w:t>Cases</w:t>
      </w:r>
    </w:p>
    <w:p w:rsidRPr="00864B8E" w:rsidR="00AD7786" w:rsidP="00AD7786" w:rsidRDefault="00407FE3" w14:paraId="01217936" w14:textId="0CA5E2D9">
      <w:pPr>
        <w:pStyle w:val="ListParagraph"/>
        <w:numPr>
          <w:ilvl w:val="1"/>
          <w:numId w:val="1"/>
        </w:numPr>
        <w:rPr>
          <w:b/>
          <w:bCs/>
        </w:rPr>
      </w:pPr>
      <w:r w:rsidRPr="00864B8E">
        <w:rPr>
          <w:b/>
          <w:bCs/>
        </w:rPr>
        <w:t>What are involuntary cases?</w:t>
      </w:r>
    </w:p>
    <w:p w:rsidR="00407FE3" w:rsidP="00407FE3" w:rsidRDefault="00407FE3" w14:paraId="52FC4891" w14:textId="2B0FBB2D">
      <w:pPr>
        <w:pStyle w:val="ListParagraph"/>
        <w:numPr>
          <w:ilvl w:val="2"/>
          <w:numId w:val="1"/>
        </w:numPr>
      </w:pPr>
      <w:r>
        <w:t>Chapter 7 or 11 cases filed by a group of creditors against an insolvent debtor (called the alleged debtor).</w:t>
      </w:r>
    </w:p>
    <w:p w:rsidR="00407FE3" w:rsidP="00407FE3" w:rsidRDefault="00407FE3" w14:paraId="1AE2BB45" w14:textId="234D5216">
      <w:pPr>
        <w:pStyle w:val="ListParagraph"/>
        <w:numPr>
          <w:ilvl w:val="2"/>
          <w:numId w:val="1"/>
        </w:numPr>
      </w:pPr>
      <w:r>
        <w:t xml:space="preserve">Governed primarily </w:t>
      </w:r>
      <w:r w:rsidR="003D025F">
        <w:t xml:space="preserve">by </w:t>
      </w:r>
      <w:r w:rsidR="00335A09">
        <w:t>S</w:t>
      </w:r>
      <w:r w:rsidR="003D025F">
        <w:t>ection 303</w:t>
      </w:r>
      <w:r w:rsidR="00335A09">
        <w:t xml:space="preserve"> of the Bankruptcy Code</w:t>
      </w:r>
      <w:r w:rsidR="003D025F">
        <w:t>, which sets forth certain requirements for filing, including, for example:</w:t>
      </w:r>
    </w:p>
    <w:p w:rsidR="003D025F" w:rsidP="003D025F" w:rsidRDefault="003D025F" w14:paraId="56977AA4" w14:textId="4F3B30FC">
      <w:pPr>
        <w:pStyle w:val="ListParagraph"/>
        <w:numPr>
          <w:ilvl w:val="3"/>
          <w:numId w:val="1"/>
        </w:numPr>
      </w:pPr>
      <w:r>
        <w:t>Eligibility requirements for creditors to commence an involuntary case;</w:t>
      </w:r>
    </w:p>
    <w:p w:rsidR="003D025F" w:rsidP="003D025F" w:rsidRDefault="00753EA8" w14:paraId="2CD31B66" w14:textId="68B60C32">
      <w:pPr>
        <w:pStyle w:val="ListParagraph"/>
        <w:numPr>
          <w:ilvl w:val="3"/>
          <w:numId w:val="1"/>
        </w:numPr>
      </w:pPr>
      <w:r>
        <w:t>Grounds for obtaining an order of relief;</w:t>
      </w:r>
    </w:p>
    <w:p w:rsidR="00753EA8" w:rsidP="003D025F" w:rsidRDefault="00753EA8" w14:paraId="2AFEC11E" w14:textId="1F8D0249">
      <w:pPr>
        <w:pStyle w:val="ListParagraph"/>
        <w:numPr>
          <w:ilvl w:val="3"/>
          <w:numId w:val="1"/>
        </w:numPr>
      </w:pPr>
      <w:r>
        <w:t>Grounds for dismissal; and</w:t>
      </w:r>
    </w:p>
    <w:p w:rsidR="00753EA8" w:rsidP="003D025F" w:rsidRDefault="00753EA8" w14:paraId="7F9D68A2" w14:textId="3010EC4F">
      <w:pPr>
        <w:pStyle w:val="ListParagraph"/>
        <w:numPr>
          <w:ilvl w:val="3"/>
          <w:numId w:val="1"/>
        </w:numPr>
      </w:pPr>
      <w:r>
        <w:t>Various other requirements.</w:t>
      </w:r>
      <w:r w:rsidR="006C6070">
        <w:t xml:space="preserve"> </w:t>
      </w:r>
    </w:p>
    <w:p w:rsidR="00753EA8" w:rsidP="0017680A" w:rsidRDefault="0017680A" w14:paraId="4C00F536" w14:textId="53D204C4">
      <w:pPr>
        <w:pStyle w:val="ListParagraph"/>
        <w:numPr>
          <w:ilvl w:val="1"/>
          <w:numId w:val="1"/>
        </w:numPr>
      </w:pPr>
      <w:r w:rsidRPr="00864B8E">
        <w:rPr>
          <w:b/>
          <w:bCs/>
        </w:rPr>
        <w:t xml:space="preserve">Involuntaries </w:t>
      </w:r>
      <w:r w:rsidRPr="00864B8E" w:rsidR="00F42274">
        <w:rPr>
          <w:b/>
          <w:bCs/>
        </w:rPr>
        <w:t xml:space="preserve">historically were </w:t>
      </w:r>
      <w:r w:rsidRPr="00864B8E">
        <w:rPr>
          <w:b/>
          <w:bCs/>
        </w:rPr>
        <w:t xml:space="preserve">infrequent, but </w:t>
      </w:r>
      <w:r w:rsidRPr="00864B8E" w:rsidR="00F42274">
        <w:rPr>
          <w:b/>
          <w:bCs/>
        </w:rPr>
        <w:t xml:space="preserve">are </w:t>
      </w:r>
      <w:r w:rsidRPr="00864B8E">
        <w:rPr>
          <w:b/>
          <w:bCs/>
        </w:rPr>
        <w:t>becoming more common.</w:t>
      </w:r>
      <w:r>
        <w:t xml:space="preserve">  </w:t>
      </w:r>
      <w:r w:rsidR="00F42274">
        <w:t>It is i</w:t>
      </w:r>
      <w:r>
        <w:t xml:space="preserve">mportant to understand </w:t>
      </w:r>
      <w:r w:rsidR="00F42274">
        <w:t xml:space="preserve">the </w:t>
      </w:r>
      <w:r>
        <w:t xml:space="preserve">ethical implications of </w:t>
      </w:r>
      <w:r w:rsidR="00F42274">
        <w:t>commencing an involuntary bankruptcy case</w:t>
      </w:r>
      <w:r>
        <w:t>.</w:t>
      </w:r>
    </w:p>
    <w:p w:rsidRPr="00864B8E" w:rsidR="00AB4CE1" w:rsidP="00AB4CE1" w:rsidRDefault="00AB4CE1" w14:paraId="237A30B5" w14:textId="4711B8B1">
      <w:pPr>
        <w:pStyle w:val="ListParagraph"/>
        <w:numPr>
          <w:ilvl w:val="0"/>
          <w:numId w:val="1"/>
        </w:numPr>
        <w:rPr>
          <w:b/>
          <w:bCs/>
        </w:rPr>
      </w:pPr>
      <w:r w:rsidRPr="00864B8E">
        <w:rPr>
          <w:b/>
          <w:bCs/>
        </w:rPr>
        <w:t xml:space="preserve">Prefiling Diligence </w:t>
      </w:r>
      <w:r w:rsidRPr="00864B8E" w:rsidR="00864B8E">
        <w:rPr>
          <w:b/>
          <w:bCs/>
        </w:rPr>
        <w:t>and</w:t>
      </w:r>
      <w:r w:rsidRPr="00864B8E">
        <w:rPr>
          <w:b/>
          <w:bCs/>
        </w:rPr>
        <w:t xml:space="preserve"> Investigations by Petitioning Creditors</w:t>
      </w:r>
    </w:p>
    <w:p w:rsidR="0017680A" w:rsidP="0017680A" w:rsidRDefault="00864B8E" w14:paraId="60EDC057" w14:textId="5D891AB5">
      <w:pPr>
        <w:pStyle w:val="ListParagraph"/>
        <w:numPr>
          <w:ilvl w:val="1"/>
          <w:numId w:val="1"/>
        </w:numPr>
      </w:pPr>
      <w:r w:rsidRPr="00864B8E">
        <w:rPr>
          <w:b/>
          <w:bCs/>
        </w:rPr>
        <w:t>P</w:t>
      </w:r>
      <w:r w:rsidRPr="00864B8E" w:rsidR="00CA77BC">
        <w:rPr>
          <w:b/>
          <w:bCs/>
        </w:rPr>
        <w:t>re-filing diligence/investigation standard:</w:t>
      </w:r>
      <w:r w:rsidR="00CA77BC">
        <w:t xml:space="preserve">  </w:t>
      </w:r>
      <w:r w:rsidRPr="0017680A" w:rsidR="0017680A">
        <w:t xml:space="preserve">Reasonable inquiry requirement </w:t>
      </w:r>
      <w:r w:rsidR="00647282">
        <w:t xml:space="preserve">under Bankruptcy Rule 9011 </w:t>
      </w:r>
      <w:r w:rsidRPr="0017680A" w:rsidR="0017680A">
        <w:t xml:space="preserve">applies to </w:t>
      </w:r>
      <w:r w:rsidRPr="00647282" w:rsidR="0017680A">
        <w:rPr>
          <w:i/>
          <w:iCs/>
        </w:rPr>
        <w:t>all</w:t>
      </w:r>
      <w:r w:rsidRPr="0017680A" w:rsidR="0017680A">
        <w:t xml:space="preserve"> factors in filing an involuntary bankruptcy, including</w:t>
      </w:r>
      <w:r w:rsidR="00647282">
        <w:t>, for example, the eligibility of the petitioning creditors as well as the insolvency of the alleged debtor (discussed further below).</w:t>
      </w:r>
    </w:p>
    <w:p w:rsidR="00647282" w:rsidP="00647282" w:rsidRDefault="00FE6F0B" w14:paraId="184E8F4B" w14:textId="7199CABF">
      <w:pPr>
        <w:pStyle w:val="ListParagraph"/>
        <w:numPr>
          <w:ilvl w:val="2"/>
          <w:numId w:val="1"/>
        </w:numPr>
      </w:pPr>
      <w:r>
        <w:rPr>
          <w:b/>
          <w:bCs/>
        </w:rPr>
        <w:t xml:space="preserve">Bankruptcy </w:t>
      </w:r>
      <w:r w:rsidRPr="00864B8E" w:rsidR="00647282">
        <w:rPr>
          <w:b/>
          <w:bCs/>
        </w:rPr>
        <w:t>Rule </w:t>
      </w:r>
      <w:r w:rsidRPr="00864B8E" w:rsidR="00CA77BC">
        <w:rPr>
          <w:b/>
          <w:bCs/>
        </w:rPr>
        <w:t>90</w:t>
      </w:r>
      <w:r w:rsidRPr="00864B8E" w:rsidR="00647282">
        <w:rPr>
          <w:b/>
          <w:bCs/>
        </w:rPr>
        <w:t>11 Standard:</w:t>
      </w:r>
      <w:r w:rsidRPr="00647282" w:rsidR="00647282">
        <w:t xml:space="preserve"> “The task of determining the legal sufficiency of a position under </w:t>
      </w:r>
      <w:r>
        <w:t xml:space="preserve">Bankruptcy </w:t>
      </w:r>
      <w:r w:rsidRPr="00647282" w:rsidR="00647282">
        <w:t>Rule</w:t>
      </w:r>
      <w:r w:rsidR="00647282">
        <w:t> </w:t>
      </w:r>
      <w:r w:rsidRPr="00647282" w:rsidR="00647282">
        <w:t xml:space="preserve">9011 requires investigation of both the facts and the law prior to the signing and submission of a pleading.” </w:t>
      </w:r>
      <w:r w:rsidR="00647282">
        <w:t xml:space="preserve"> </w:t>
      </w:r>
      <w:r w:rsidRPr="00647282" w:rsidR="00647282">
        <w:rPr>
          <w:i/>
          <w:iCs/>
        </w:rPr>
        <w:t>In re McDonald</w:t>
      </w:r>
      <w:r w:rsidR="00CA77BC">
        <w:rPr>
          <w:i/>
          <w:iCs/>
        </w:rPr>
        <w:t xml:space="preserve"> T</w:t>
      </w:r>
      <w:r w:rsidRPr="00647282" w:rsidR="00647282">
        <w:rPr>
          <w:i/>
          <w:iCs/>
        </w:rPr>
        <w:t>rucking Co.</w:t>
      </w:r>
      <w:r w:rsidRPr="00647282" w:rsidR="00647282">
        <w:t>, 7 B.R. 513 (Bankr. W.D. Pa. 1987).</w:t>
      </w:r>
      <w:r w:rsidR="00A21801">
        <w:t xml:space="preserve">  Is there a reasonable, good faith basis based on such investigation to believe grounds exist to file the involuntary petition?  </w:t>
      </w:r>
      <w:r w:rsidR="00A21801">
        <w:rPr>
          <w:i/>
          <w:iCs/>
        </w:rPr>
        <w:t>See, e.g.</w:t>
      </w:r>
      <w:r w:rsidR="00A21801">
        <w:t xml:space="preserve">, </w:t>
      </w:r>
      <w:r w:rsidRPr="00A21801" w:rsidR="00A21801">
        <w:rPr>
          <w:i/>
          <w:iCs/>
        </w:rPr>
        <w:t>In re Midwest Processing Co.</w:t>
      </w:r>
      <w:r w:rsidRPr="00AF67AF" w:rsidR="00A21801">
        <w:t>,</w:t>
      </w:r>
      <w:r w:rsidR="00AF67AF">
        <w:t xml:space="preserve"> </w:t>
      </w:r>
      <w:r w:rsidRPr="00A21801" w:rsidR="00A21801">
        <w:t>41 B.R. 90, 103 (Bankr. D. N.D. 1984)</w:t>
      </w:r>
      <w:r w:rsidR="00AF67AF">
        <w:t>.</w:t>
      </w:r>
    </w:p>
    <w:p w:rsidR="00647282" w:rsidP="00864B8E" w:rsidRDefault="006C6070" w14:paraId="49B423F2" w14:textId="17E63C25">
      <w:pPr>
        <w:pStyle w:val="ListParagraph"/>
        <w:numPr>
          <w:ilvl w:val="3"/>
          <w:numId w:val="1"/>
        </w:numPr>
      </w:pPr>
      <w:r w:rsidRPr="00864B8E">
        <w:rPr>
          <w:b/>
          <w:bCs/>
        </w:rPr>
        <w:t>Precise extent of investigation into facts and law that is necessary depends on the particular circumstances.</w:t>
      </w:r>
      <w:r>
        <w:t xml:space="preserve">  </w:t>
      </w:r>
      <w:r>
        <w:rPr>
          <w:i/>
          <w:iCs/>
        </w:rPr>
        <w:t>See, e.g.</w:t>
      </w:r>
      <w:r>
        <w:t xml:space="preserve">, </w:t>
      </w:r>
      <w:r w:rsidRPr="006C6070">
        <w:rPr>
          <w:i/>
          <w:iCs/>
        </w:rPr>
        <w:t>In re TCI Ltd.,</w:t>
      </w:r>
      <w:r w:rsidRPr="006C6070">
        <w:t> 769 F.2d 441, 447 (7th Cir. 1985).</w:t>
      </w:r>
      <w:r>
        <w:t xml:space="preserve">  </w:t>
      </w:r>
      <w:r w:rsidR="004E71BD">
        <w:t>For example, where a petition must be filed on short notice with limited resources, courts will excuse some “attorney sloppiness” and will also not require an “experience</w:t>
      </w:r>
      <w:r w:rsidR="00F42274">
        <w:t>d</w:t>
      </w:r>
      <w:r w:rsidR="004E71BD">
        <w:t xml:space="preserve"> practitioner” to “undertake exhaustive research for every new case </w:t>
      </w:r>
      <w:r w:rsidR="00CA77BC">
        <w:t xml:space="preserve">handled”—but the Rule 11 buck stops with the attorney preparing the petition.  </w:t>
      </w:r>
      <w:r w:rsidR="00CA77BC">
        <w:rPr>
          <w:i/>
          <w:iCs/>
        </w:rPr>
        <w:t>See, e.g.</w:t>
      </w:r>
      <w:r w:rsidRPr="00CA77BC" w:rsidR="00CA77BC">
        <w:t>,</w:t>
      </w:r>
      <w:r w:rsidR="00CA77BC">
        <w:rPr>
          <w:i/>
          <w:iCs/>
        </w:rPr>
        <w:t xml:space="preserve"> id</w:t>
      </w:r>
      <w:r w:rsidR="00CA77BC">
        <w:t>.</w:t>
      </w:r>
    </w:p>
    <w:p w:rsidR="00210E21" w:rsidP="006C6070" w:rsidRDefault="00210E21" w14:paraId="31B73162" w14:textId="7F728CF3">
      <w:pPr>
        <w:pStyle w:val="ListParagraph"/>
        <w:numPr>
          <w:ilvl w:val="2"/>
          <w:numId w:val="1"/>
        </w:numPr>
      </w:pPr>
      <w:r w:rsidRPr="00864B8E">
        <w:rPr>
          <w:b/>
          <w:bCs/>
        </w:rPr>
        <w:t>Timing:</w:t>
      </w:r>
      <w:r>
        <w:t xml:space="preserve">  As the phrase ‘pre-suit investigation’ indicates, the prospective petition</w:t>
      </w:r>
      <w:r w:rsidR="00F42274">
        <w:t>ing</w:t>
      </w:r>
      <w:r>
        <w:t xml:space="preserve"> creditors </w:t>
      </w:r>
      <w:r w:rsidRPr="00210E21">
        <w:rPr>
          <w:i/>
          <w:iCs/>
        </w:rPr>
        <w:t>must</w:t>
      </w:r>
      <w:r w:rsidRPr="00210E21">
        <w:t xml:space="preserve"> conduct </w:t>
      </w:r>
      <w:r>
        <w:t>such inv</w:t>
      </w:r>
      <w:r w:rsidRPr="00210E21">
        <w:t xml:space="preserve">estigation </w:t>
      </w:r>
      <w:r w:rsidRPr="00210E21">
        <w:rPr>
          <w:i/>
          <w:iCs/>
        </w:rPr>
        <w:t>before</w:t>
      </w:r>
      <w:r w:rsidRPr="00210E21">
        <w:t xml:space="preserve"> the filing, not after. </w:t>
      </w:r>
      <w:r>
        <w:t xml:space="preserve"> </w:t>
      </w:r>
      <w:r>
        <w:rPr>
          <w:i/>
          <w:iCs/>
        </w:rPr>
        <w:t>E.g.</w:t>
      </w:r>
      <w:r>
        <w:t xml:space="preserve">, </w:t>
      </w:r>
      <w:r w:rsidRPr="00210E21">
        <w:rPr>
          <w:i/>
          <w:iCs/>
        </w:rPr>
        <w:t>In re K.P. Enterprise</w:t>
      </w:r>
      <w:r w:rsidRPr="00210E21">
        <w:t>, 135 B.R. 174, 182 (Bankr. D. Ma. 1992).</w:t>
      </w:r>
    </w:p>
    <w:p w:rsidR="00CA77BC" w:rsidP="00CA77BC" w:rsidRDefault="00864B8E" w14:paraId="3DA3FCB4" w14:textId="7E48E38C">
      <w:pPr>
        <w:pStyle w:val="ListParagraph"/>
        <w:numPr>
          <w:ilvl w:val="2"/>
          <w:numId w:val="1"/>
        </w:numPr>
      </w:pPr>
      <w:r w:rsidRPr="00864B8E">
        <w:rPr>
          <w:b/>
          <w:bCs/>
        </w:rPr>
        <w:t>Application of the Rule:</w:t>
      </w:r>
      <w:r>
        <w:t xml:space="preserve">  </w:t>
      </w:r>
      <w:r w:rsidR="00CA77BC">
        <w:t xml:space="preserve">How this rule might apply to the various information necessary to file an involuntary case is discussed specifically in conjunction with the discussions of the various </w:t>
      </w:r>
      <w:r w:rsidR="00624961">
        <w:t>legal issues individually below.</w:t>
      </w:r>
    </w:p>
    <w:p w:rsidRPr="00864B8E" w:rsidR="00CA77BC" w:rsidP="00CA77BC" w:rsidRDefault="00624961" w14:paraId="77F88DFF" w14:textId="56C317F3">
      <w:pPr>
        <w:pStyle w:val="ListParagraph"/>
        <w:numPr>
          <w:ilvl w:val="1"/>
          <w:numId w:val="1"/>
        </w:numPr>
        <w:rPr>
          <w:b/>
          <w:bCs/>
        </w:rPr>
      </w:pPr>
      <w:r w:rsidRPr="00864B8E">
        <w:rPr>
          <w:b/>
          <w:bCs/>
        </w:rPr>
        <w:t>Advice of Counsel</w:t>
      </w:r>
    </w:p>
    <w:p w:rsidR="00624961" w:rsidP="00624961" w:rsidRDefault="00624961" w14:paraId="157AA078" w14:textId="7F4641C5">
      <w:pPr>
        <w:pStyle w:val="ListParagraph"/>
        <w:numPr>
          <w:ilvl w:val="2"/>
          <w:numId w:val="1"/>
        </w:numPr>
      </w:pPr>
      <w:r w:rsidRPr="00864B8E">
        <w:rPr>
          <w:b/>
          <w:bCs/>
        </w:rPr>
        <w:t xml:space="preserve">Obtaining advice of counsel is generally considered a step in </w:t>
      </w:r>
      <w:r w:rsidRPr="00864B8E" w:rsidR="00F42274">
        <w:rPr>
          <w:b/>
          <w:bCs/>
        </w:rPr>
        <w:t xml:space="preserve">the </w:t>
      </w:r>
      <w:r w:rsidRPr="00864B8E">
        <w:rPr>
          <w:b/>
          <w:bCs/>
        </w:rPr>
        <w:t xml:space="preserve">due diligence/investigation process before filing. </w:t>
      </w:r>
      <w:r w:rsidRPr="00624961">
        <w:t xml:space="preserve"> </w:t>
      </w:r>
      <w:r w:rsidRPr="00624961">
        <w:rPr>
          <w:i/>
          <w:iCs/>
        </w:rPr>
        <w:t>See</w:t>
      </w:r>
      <w:r>
        <w:rPr>
          <w:i/>
          <w:iCs/>
        </w:rPr>
        <w:t>, e.g.</w:t>
      </w:r>
      <w:r>
        <w:t>,</w:t>
      </w:r>
      <w:r w:rsidRPr="00624961">
        <w:rPr>
          <w:i/>
          <w:iCs/>
        </w:rPr>
        <w:t xml:space="preserve"> Pyke v. Funnel Sci. Internet Mktg., LLC</w:t>
      </w:r>
      <w:r w:rsidRPr="00624961">
        <w:t xml:space="preserve"> 551 B.R. 262 (E.D. Texas 2016).</w:t>
      </w:r>
    </w:p>
    <w:p w:rsidRPr="00AB4CE1" w:rsidR="00624961" w:rsidP="00624961" w:rsidRDefault="00624961" w14:paraId="304C8DD8" w14:textId="25B953E8">
      <w:pPr>
        <w:pStyle w:val="ListParagraph"/>
        <w:numPr>
          <w:ilvl w:val="2"/>
          <w:numId w:val="1"/>
        </w:numPr>
      </w:pPr>
      <w:r>
        <w:lastRenderedPageBreak/>
        <w:t xml:space="preserve">Moreover, in accordance with the general rule in federal courts, </w:t>
      </w:r>
      <w:r w:rsidRPr="00864B8E">
        <w:rPr>
          <w:b/>
          <w:bCs/>
        </w:rPr>
        <w:t xml:space="preserve">creditors other than natural persons </w:t>
      </w:r>
      <w:r w:rsidRPr="00864B8E">
        <w:rPr>
          <w:b/>
          <w:bCs/>
          <w:i/>
          <w:iCs/>
        </w:rPr>
        <w:t>must</w:t>
      </w:r>
      <w:r w:rsidRPr="00864B8E">
        <w:rPr>
          <w:b/>
          <w:bCs/>
        </w:rPr>
        <w:t xml:space="preserve"> be represented by counsel in order to file or sign on to an involuntary petition.</w:t>
      </w:r>
      <w:r w:rsidR="00560415">
        <w:t xml:space="preserve">  </w:t>
      </w:r>
      <w:r w:rsidR="00560415">
        <w:rPr>
          <w:i/>
          <w:iCs/>
        </w:rPr>
        <w:t>See, e.g.</w:t>
      </w:r>
      <w:r w:rsidR="00560415">
        <w:t xml:space="preserve">, </w:t>
      </w:r>
      <w:r w:rsidRPr="00560415" w:rsidR="00560415">
        <w:rPr>
          <w:i/>
          <w:iCs/>
        </w:rPr>
        <w:t>In re Spencer C. Young Invs./The Courtyard of Chapel Hill</w:t>
      </w:r>
      <w:r w:rsidRPr="00560415" w:rsidR="00560415">
        <w:t>, No. 08</w:t>
      </w:r>
      <w:r w:rsidRPr="00560415" w:rsidR="00560415">
        <w:noBreakHyphen/>
        <w:t xml:space="preserve">81852, 2009 Bankr. LEXIS 869, at *9 (Bankr. M.D.N.C. Feb. 4, 2009); </w:t>
      </w:r>
      <w:r w:rsidRPr="00560415" w:rsidR="00560415">
        <w:rPr>
          <w:i/>
          <w:iCs/>
        </w:rPr>
        <w:t>In re ICLNDS Notes Acquisitions, L.L.C.</w:t>
      </w:r>
      <w:r w:rsidRPr="00560415" w:rsidR="00560415">
        <w:t>, 259 B.R. 289, 293–95 (Bankr. N.D. Ohio 2001)</w:t>
      </w:r>
      <w:r w:rsidR="00560415">
        <w:t>.</w:t>
      </w:r>
    </w:p>
    <w:p w:rsidRPr="00864B8E" w:rsidR="007F216A" w:rsidP="007F216A" w:rsidRDefault="007F216A" w14:paraId="056B2D59" w14:textId="024E05E2">
      <w:pPr>
        <w:pStyle w:val="ListParagraph"/>
        <w:numPr>
          <w:ilvl w:val="1"/>
          <w:numId w:val="1"/>
        </w:numPr>
        <w:rPr>
          <w:b/>
          <w:bCs/>
        </w:rPr>
      </w:pPr>
      <w:r w:rsidRPr="00864B8E">
        <w:rPr>
          <w:b/>
          <w:bCs/>
        </w:rPr>
        <w:t xml:space="preserve">Number of </w:t>
      </w:r>
      <w:r w:rsidRPr="00864B8E" w:rsidR="00AB4CE1">
        <w:rPr>
          <w:b/>
          <w:bCs/>
        </w:rPr>
        <w:t xml:space="preserve">Petitioning </w:t>
      </w:r>
      <w:r w:rsidRPr="00864B8E">
        <w:rPr>
          <w:b/>
          <w:bCs/>
        </w:rPr>
        <w:t>Creditors</w:t>
      </w:r>
      <w:r w:rsidRPr="00864B8E" w:rsidR="00BA70DA">
        <w:rPr>
          <w:b/>
          <w:bCs/>
        </w:rPr>
        <w:t xml:space="preserve"> and Size of Claims</w:t>
      </w:r>
    </w:p>
    <w:p w:rsidR="00AF67AF" w:rsidP="00AF67AF" w:rsidRDefault="00FE4EF6" w14:paraId="2C83CA6D" w14:textId="221FA25C">
      <w:pPr>
        <w:pStyle w:val="ListParagraph"/>
        <w:numPr>
          <w:ilvl w:val="2"/>
          <w:numId w:val="1"/>
        </w:numPr>
      </w:pPr>
      <w:r w:rsidRPr="00864B8E">
        <w:rPr>
          <w:b/>
          <w:bCs/>
        </w:rPr>
        <w:t xml:space="preserve">General Rule: </w:t>
      </w:r>
      <w:r>
        <w:t xml:space="preserve"> </w:t>
      </w:r>
      <w:r w:rsidRPr="00FE4EF6">
        <w:t xml:space="preserve">If the alleged debtor has more than </w:t>
      </w:r>
      <w:r>
        <w:t xml:space="preserve">twelve </w:t>
      </w:r>
      <w:r w:rsidRPr="00FE4EF6">
        <w:t xml:space="preserve">creditors, </w:t>
      </w:r>
      <w:r w:rsidR="00F42274">
        <w:t xml:space="preserve">at least three creditors </w:t>
      </w:r>
      <w:r w:rsidRPr="00FE4EF6">
        <w:t xml:space="preserve">must commence the involuntary </w:t>
      </w:r>
      <w:r w:rsidR="00F42274">
        <w:t>bankruptcy case</w:t>
      </w:r>
      <w:r w:rsidRPr="00FE4EF6">
        <w:t>.</w:t>
      </w:r>
      <w:r w:rsidR="00BA70DA">
        <w:t xml:space="preserve">  In addition, </w:t>
      </w:r>
      <w:r w:rsidR="004031D4">
        <w:t>the aggregate dollar amount of the noncontingent, undisputed claims held by the petitioning creditor(s) must be at least $</w:t>
      </w:r>
      <w:r w:rsidR="00FE6F0B">
        <w:t>16,750</w:t>
      </w:r>
      <w:r w:rsidR="004031D4">
        <w:t xml:space="preserve"> (in the aggregate if there are three petitioning creditors).</w:t>
      </w:r>
      <w:r w:rsidR="00BA70DA">
        <w:t xml:space="preserve">  </w:t>
      </w:r>
      <w:r w:rsidR="00BA70DA">
        <w:rPr>
          <w:i/>
          <w:iCs/>
        </w:rPr>
        <w:t>See</w:t>
      </w:r>
      <w:r w:rsidR="00BA70DA">
        <w:t xml:space="preserve"> 11 U.S.C. § 303(b).</w:t>
      </w:r>
    </w:p>
    <w:p w:rsidR="00FE4EF6" w:rsidP="00AF67AF" w:rsidRDefault="00FE4EF6" w14:paraId="7333DF75" w14:textId="447E52C3">
      <w:pPr>
        <w:pStyle w:val="ListParagraph"/>
        <w:numPr>
          <w:ilvl w:val="2"/>
          <w:numId w:val="1"/>
        </w:numPr>
      </w:pPr>
      <w:r w:rsidRPr="00864B8E">
        <w:rPr>
          <w:b/>
          <w:bCs/>
        </w:rPr>
        <w:t xml:space="preserve">Good faith investigation into the size of the alleged debtor’s business and the number of creditors </w:t>
      </w:r>
      <w:r w:rsidRPr="00864B8E" w:rsidR="004031D4">
        <w:rPr>
          <w:b/>
          <w:bCs/>
        </w:rPr>
        <w:t>is necessary before filing</w:t>
      </w:r>
      <w:r w:rsidRPr="00864B8E">
        <w:rPr>
          <w:b/>
          <w:bCs/>
        </w:rPr>
        <w:t>.</w:t>
      </w:r>
      <w:r>
        <w:t xml:space="preserve">  </w:t>
      </w:r>
      <w:r w:rsidR="004031D4">
        <w:t>Creditors also need to confirm the amount of their own claims to ensure the dollar threshold is met.  Such an investigation n</w:t>
      </w:r>
      <w:r>
        <w:t xml:space="preserve">eed not </w:t>
      </w:r>
      <w:r w:rsidR="004031D4">
        <w:t>be exhaustive</w:t>
      </w:r>
      <w:r w:rsidR="00FE6F0B">
        <w:t>.</w:t>
      </w:r>
      <w:r w:rsidR="00930945">
        <w:t xml:space="preserve">  </w:t>
      </w:r>
      <w:r w:rsidR="00FE6F0B">
        <w:t>S</w:t>
      </w:r>
      <w:r w:rsidR="004031D4">
        <w:t xml:space="preserve">uch an </w:t>
      </w:r>
      <w:r w:rsidR="0053676F">
        <w:t xml:space="preserve">investigation can be fairly limited (or even “cursory”)—so long as it yields enough information to form a good faith belief as to whether the alleged debtor has more or less than twelve creditors.  </w:t>
      </w:r>
      <w:r w:rsidRPr="0053676F" w:rsidR="0053676F">
        <w:rPr>
          <w:i/>
          <w:iCs/>
        </w:rPr>
        <w:t>Basin Elec. Power Coop. v. Midwest Processing Co.</w:t>
      </w:r>
      <w:r w:rsidRPr="0053676F" w:rsidR="0053676F">
        <w:t>, 769 F.2d 483 (8th Cir. 1985)</w:t>
      </w:r>
      <w:r w:rsidR="0053676F">
        <w:t>.</w:t>
      </w:r>
    </w:p>
    <w:p w:rsidR="009B33AB" w:rsidP="00AB54DC" w:rsidRDefault="00FE6F0B" w14:paraId="15566743" w14:textId="36DDFC75">
      <w:pPr>
        <w:pStyle w:val="ListParagraph"/>
        <w:numPr>
          <w:ilvl w:val="2"/>
          <w:numId w:val="1"/>
        </w:numPr>
      </w:pPr>
      <w:r w:rsidRPr="00FE6F0B">
        <w:rPr>
          <w:b/>
          <w:bCs/>
        </w:rPr>
        <w:t>S</w:t>
      </w:r>
      <w:r w:rsidRPr="00864B8E" w:rsidR="00C4505B">
        <w:rPr>
          <w:b/>
          <w:bCs/>
        </w:rPr>
        <w:t>uch good faith can be found lacking in some situations despite the conduct of a pre-suit investigation</w:t>
      </w:r>
      <w:r w:rsidR="00C4505B">
        <w:t>—where, for example, the investigation yields result</w:t>
      </w:r>
      <w:r>
        <w:t>s</w:t>
      </w:r>
      <w:r w:rsidR="00C4505B">
        <w:t xml:space="preserve"> that would cause a reasonable person to inquire further, but the petitioning creditor(s) ignored such flags—or where an alleged debtor is </w:t>
      </w:r>
      <w:r>
        <w:t xml:space="preserve">a </w:t>
      </w:r>
      <w:r w:rsidR="00C4505B">
        <w:t xml:space="preserve">large </w:t>
      </w:r>
      <w:r>
        <w:t xml:space="preserve">company </w:t>
      </w:r>
      <w:r w:rsidR="00C4505B">
        <w:t xml:space="preserve">that it must have more than twelve creditors.  </w:t>
      </w:r>
      <w:r w:rsidR="00C4505B">
        <w:rPr>
          <w:i/>
          <w:iCs/>
        </w:rPr>
        <w:t>See, e.g.</w:t>
      </w:r>
      <w:r w:rsidR="00C4505B">
        <w:t xml:space="preserve">, </w:t>
      </w:r>
      <w:r w:rsidRPr="00CB5AE3" w:rsidR="00CB5AE3">
        <w:rPr>
          <w:i/>
          <w:iCs/>
        </w:rPr>
        <w:t>In re Mylotte</w:t>
      </w:r>
      <w:r w:rsidRPr="00CB5AE3" w:rsidR="00CB5AE3">
        <w:t xml:space="preserve">, 2007 Bankr. LEXIS 2375, </w:t>
      </w:r>
      <w:r w:rsidR="00CB5AE3">
        <w:t xml:space="preserve">at </w:t>
      </w:r>
      <w:r w:rsidRPr="00CB5AE3" w:rsidR="00CB5AE3">
        <w:t>*29</w:t>
      </w:r>
      <w:r w:rsidR="00CB5AE3">
        <w:t>–</w:t>
      </w:r>
      <w:r w:rsidRPr="00CB5AE3" w:rsidR="00CB5AE3">
        <w:t>30 (Bankr. E.D. Pa. 2007)</w:t>
      </w:r>
      <w:r w:rsidR="00CB5AE3">
        <w:t>.</w:t>
      </w:r>
      <w:r w:rsidR="00373701">
        <w:t xml:space="preserve">  In other words, courts require petitioning creditors and their counsel to use common sense to determine, from publicly available information and after a short investigation, whether an alleged debtor is more likely to have </w:t>
      </w:r>
      <w:r w:rsidR="00D56F59">
        <w:t>greater or fewer</w:t>
      </w:r>
      <w:r w:rsidR="00373701">
        <w:t xml:space="preserve"> than twelve </w:t>
      </w:r>
      <w:r w:rsidR="00D56F59">
        <w:t>creditors.</w:t>
      </w:r>
    </w:p>
    <w:p w:rsidR="00F42274" w:rsidP="00234469" w:rsidRDefault="00F42274" w14:paraId="0D5619CA" w14:textId="77D82CFF">
      <w:pPr>
        <w:pStyle w:val="ListParagraph"/>
        <w:numPr>
          <w:ilvl w:val="3"/>
          <w:numId w:val="1"/>
        </w:numPr>
      </w:pPr>
      <w:r>
        <w:t>As a general rule, most businesses will have more than twelve creditors by the time you count utility companies and the like.</w:t>
      </w:r>
    </w:p>
    <w:p w:rsidR="00CB5AE3" w:rsidP="00AF67AF" w:rsidRDefault="00864B8E" w14:paraId="4657AAB7" w14:textId="4DCBCCB9">
      <w:pPr>
        <w:pStyle w:val="ListParagraph"/>
        <w:numPr>
          <w:ilvl w:val="2"/>
          <w:numId w:val="1"/>
        </w:numPr>
      </w:pPr>
      <w:r w:rsidRPr="00864B8E">
        <w:rPr>
          <w:b/>
          <w:bCs/>
        </w:rPr>
        <w:t>Joinder of Additional Petitioning Creditors:</w:t>
      </w:r>
      <w:r w:rsidR="00CB5AE3">
        <w:t xml:space="preserve">  While (as discussed further below) notice of a motion to dismiss need only be served on the petition</w:t>
      </w:r>
      <w:r w:rsidR="00F42274">
        <w:t>ing</w:t>
      </w:r>
      <w:r w:rsidR="00CB5AE3">
        <w:t xml:space="preserve"> creditors and others who are already party to the case, the petitioning creditors are allowed to join other creditors as petitioners postpetition</w:t>
      </w:r>
      <w:r w:rsidR="009B33AB">
        <w:t xml:space="preserve">; indeed, the court </w:t>
      </w:r>
      <w:r w:rsidR="009B33AB">
        <w:rPr>
          <w:i/>
          <w:iCs/>
        </w:rPr>
        <w:t>must</w:t>
      </w:r>
      <w:r w:rsidR="009B33AB">
        <w:t xml:space="preserve"> </w:t>
      </w:r>
      <w:r w:rsidRPr="009B33AB" w:rsidR="009B33AB">
        <w:t>“assure that other creditors have a ‘reasonable opportunity’ to exercise their §</w:t>
      </w:r>
      <w:r w:rsidR="009B33AB">
        <w:t> </w:t>
      </w:r>
      <w:r w:rsidRPr="009B33AB" w:rsidR="009B33AB">
        <w:t>303(c) statutory power to join as petitioners.”</w:t>
      </w:r>
      <w:r w:rsidR="009B33AB">
        <w:t xml:space="preserve"> </w:t>
      </w:r>
      <w:r w:rsidRPr="009B33AB" w:rsidR="009B33AB">
        <w:t xml:space="preserve"> </w:t>
      </w:r>
      <w:r w:rsidRPr="009B33AB" w:rsidR="009B33AB">
        <w:rPr>
          <w:i/>
          <w:iCs/>
        </w:rPr>
        <w:t>In re Vortex</w:t>
      </w:r>
      <w:r w:rsidRPr="009B33AB" w:rsidR="009B33AB">
        <w:t xml:space="preserve"> </w:t>
      </w:r>
      <w:r w:rsidRPr="009B33AB" w:rsidR="009B33AB">
        <w:rPr>
          <w:i/>
          <w:iCs/>
        </w:rPr>
        <w:t>Fishing Syst., Inc.</w:t>
      </w:r>
      <w:r w:rsidRPr="009B33AB" w:rsidR="009B33AB">
        <w:t>, 277 F.3d 1057 (9th Cir. 2001)</w:t>
      </w:r>
      <w:r w:rsidR="008520D5">
        <w:t xml:space="preserve">; </w:t>
      </w:r>
      <w:r w:rsidR="008520D5">
        <w:rPr>
          <w:i/>
          <w:iCs/>
        </w:rPr>
        <w:t xml:space="preserve">see also </w:t>
      </w:r>
      <w:r w:rsidR="008520D5">
        <w:t>Fed. R. Bankr. P. 1003(b).</w:t>
      </w:r>
    </w:p>
    <w:p w:rsidRPr="00335A09" w:rsidR="00AB4CE1" w:rsidP="007F216A" w:rsidRDefault="00AB54DC" w14:paraId="651EBB40" w14:textId="7BADC322">
      <w:pPr>
        <w:pStyle w:val="ListParagraph"/>
        <w:numPr>
          <w:ilvl w:val="1"/>
          <w:numId w:val="1"/>
        </w:numPr>
        <w:rPr>
          <w:b/>
          <w:bCs/>
        </w:rPr>
      </w:pPr>
      <w:r w:rsidRPr="00335A09">
        <w:rPr>
          <w:b/>
          <w:bCs/>
        </w:rPr>
        <w:t>Disputed Status of Claims of</w:t>
      </w:r>
      <w:r w:rsidRPr="00335A09" w:rsidR="00AB4CE1">
        <w:rPr>
          <w:b/>
          <w:bCs/>
        </w:rPr>
        <w:t xml:space="preserve"> Petitioning Creditors</w:t>
      </w:r>
    </w:p>
    <w:p w:rsidR="00BA70DA" w:rsidP="00BA70DA" w:rsidRDefault="00D56F59" w14:paraId="0E6AE293" w14:textId="15AC29DF">
      <w:pPr>
        <w:pStyle w:val="ListParagraph"/>
        <w:numPr>
          <w:ilvl w:val="2"/>
          <w:numId w:val="1"/>
        </w:numPr>
      </w:pPr>
      <w:r w:rsidRPr="00335A09">
        <w:rPr>
          <w:b/>
          <w:bCs/>
        </w:rPr>
        <w:t>General Rule</w:t>
      </w:r>
      <w:r w:rsidR="00335A09">
        <w:rPr>
          <w:b/>
          <w:bCs/>
        </w:rPr>
        <w:t>:</w:t>
      </w:r>
      <w:r w:rsidRPr="00335A09">
        <w:rPr>
          <w:b/>
          <w:bCs/>
        </w:rPr>
        <w:t xml:space="preserve"> </w:t>
      </w:r>
      <w:r>
        <w:t xml:space="preserve"> As noted above, claims must not be subject to a </w:t>
      </w:r>
      <w:r>
        <w:rPr>
          <w:i/>
          <w:iCs/>
        </w:rPr>
        <w:t>bona fide</w:t>
      </w:r>
      <w:r>
        <w:t xml:space="preserve"> dispute if such claims are to be used to qualify a petitioning creditor under </w:t>
      </w:r>
      <w:r w:rsidR="00335A09">
        <w:t>S</w:t>
      </w:r>
      <w:r>
        <w:t>ection 303(b)</w:t>
      </w:r>
      <w:r w:rsidR="00335A09">
        <w:t xml:space="preserve"> of the Bankruptcy Code</w:t>
      </w:r>
      <w:r>
        <w:t>.</w:t>
      </w:r>
    </w:p>
    <w:p w:rsidR="008D0258" w:rsidP="008D0258" w:rsidRDefault="008D0258" w14:paraId="3351038F" w14:textId="7D2ADBC2">
      <w:pPr>
        <w:pStyle w:val="ListParagraph"/>
        <w:numPr>
          <w:ilvl w:val="3"/>
          <w:numId w:val="1"/>
        </w:numPr>
      </w:pPr>
      <w:r>
        <w:t xml:space="preserve">For a claim to be subject to a </w:t>
      </w:r>
      <w:r>
        <w:rPr>
          <w:i/>
          <w:iCs/>
        </w:rPr>
        <w:t xml:space="preserve">bona fide </w:t>
      </w:r>
      <w:r>
        <w:t>dispute, there must be “</w:t>
      </w:r>
      <w:r w:rsidRPr="008D0258">
        <w:t xml:space="preserve">an objective basis for either a factual or a legal dispute as to the validity </w:t>
      </w:r>
      <w:r w:rsidRPr="008D0258">
        <w:lastRenderedPageBreak/>
        <w:t xml:space="preserve">of the debt.” </w:t>
      </w:r>
      <w:r>
        <w:t xml:space="preserve"> </w:t>
      </w:r>
      <w:r w:rsidRPr="008D0258">
        <w:rPr>
          <w:i/>
          <w:iCs/>
        </w:rPr>
        <w:t>In re Busick</w:t>
      </w:r>
      <w:r w:rsidRPr="008D0258">
        <w:t>, 831 F.2d 745, 750 (7th Cir. 1987</w:t>
      </w:r>
      <w:r w:rsidR="00C80BF9">
        <w:t xml:space="preserve">); </w:t>
      </w:r>
      <w:r w:rsidR="00C80BF9">
        <w:rPr>
          <w:i/>
          <w:iCs/>
        </w:rPr>
        <w:t>accord</w:t>
      </w:r>
      <w:r w:rsidR="00C80BF9">
        <w:t xml:space="preserve"> </w:t>
      </w:r>
      <w:r w:rsidRPr="00C80BF9" w:rsidR="00C80BF9">
        <w:rPr>
          <w:i/>
          <w:iCs/>
        </w:rPr>
        <w:t>Vortex</w:t>
      </w:r>
      <w:r w:rsidR="00C80BF9">
        <w:t xml:space="preserve">, 277 F.3d at 1064.  </w:t>
      </w:r>
    </w:p>
    <w:p w:rsidR="008D0258" w:rsidP="008D0258" w:rsidRDefault="006D2395" w14:paraId="675F3090" w14:textId="736979B6">
      <w:pPr>
        <w:pStyle w:val="ListParagraph"/>
        <w:numPr>
          <w:ilvl w:val="3"/>
          <w:numId w:val="1"/>
        </w:numPr>
      </w:pPr>
      <w:r>
        <w:t>There is a split among circuits (</w:t>
      </w:r>
      <w:r w:rsidR="003364B2">
        <w:t>and</w:t>
      </w:r>
      <w:r>
        <w:t xml:space="preserve"> bankruptcy courts) regarding </w:t>
      </w:r>
      <w:r w:rsidR="00234469">
        <w:t>whether a dispute with regard to only a portion of a claim disqualifies the entire claim, or whether only the disputed portion is disqualified</w:t>
      </w:r>
      <w:r w:rsidR="003364B2">
        <w:t>—the majority rule among the circuits is that a creditor</w:t>
      </w:r>
      <w:r w:rsidR="00FE6F0B">
        <w:t>’s entire claim</w:t>
      </w:r>
      <w:r w:rsidR="003364B2">
        <w:t xml:space="preserve"> is disqualified if </w:t>
      </w:r>
      <w:r w:rsidR="003364B2">
        <w:rPr>
          <w:i/>
          <w:iCs/>
        </w:rPr>
        <w:t xml:space="preserve">any </w:t>
      </w:r>
      <w:r w:rsidR="003364B2">
        <w:t>portion of its claim is disputed</w:t>
      </w:r>
      <w:r w:rsidR="00C35C80">
        <w:t>.</w:t>
      </w:r>
      <w:r w:rsidR="0067076F">
        <w:t xml:space="preserve">  </w:t>
      </w:r>
      <w:r w:rsidR="0067076F">
        <w:rPr>
          <w:i/>
          <w:iCs/>
        </w:rPr>
        <w:t>See, e.g.</w:t>
      </w:r>
      <w:r w:rsidR="0067076F">
        <w:t xml:space="preserve">, </w:t>
      </w:r>
      <w:r w:rsidRPr="0067076F" w:rsidR="0067076F">
        <w:rPr>
          <w:i/>
          <w:iCs/>
        </w:rPr>
        <w:t>State Dep’t of Rev. v. Blixseth</w:t>
      </w:r>
      <w:r w:rsidRPr="0067076F" w:rsidR="0067076F">
        <w:t>, 942 F.3d 1179, 1184–87 (9th Cir. 2019) (</w:t>
      </w:r>
      <w:r w:rsidR="003364B2">
        <w:t xml:space="preserve">siding with the majority of cases and </w:t>
      </w:r>
      <w:r w:rsidRPr="0067076F" w:rsidR="0067076F">
        <w:t>collecting lower court cases on both sides of the split)</w:t>
      </w:r>
      <w:r w:rsidR="003364B2">
        <w:t>.</w:t>
      </w:r>
    </w:p>
    <w:p w:rsidR="00F33696" w:rsidP="00BA70DA" w:rsidRDefault="007F4AE9" w14:paraId="7C4691D6" w14:textId="2BACE2A4">
      <w:pPr>
        <w:pStyle w:val="ListParagraph"/>
        <w:numPr>
          <w:ilvl w:val="2"/>
          <w:numId w:val="1"/>
        </w:numPr>
      </w:pPr>
      <w:r w:rsidRPr="00335A09">
        <w:rPr>
          <w:b/>
          <w:bCs/>
        </w:rPr>
        <w:t>Case law on the necessary investigation into this requirement is sparse</w:t>
      </w:r>
      <w:r>
        <w:t xml:space="preserve">, but applying the above case law by analogy, and the general Rule 11 standard, petitioning creditors need to obtain enough information to hold a good faith belief that their claim(s) are not subject to a good faith dispute.  </w:t>
      </w:r>
      <w:r w:rsidR="00F33696">
        <w:rPr>
          <w:i/>
          <w:iCs/>
        </w:rPr>
        <w:t>See Adell v. John Richards Homes Bldg. Co., L.L.C. (In re John Richards Homes Bldg. Co., L.L.C.)</w:t>
      </w:r>
      <w:r w:rsidR="00F33696">
        <w:t>, 439 F.3d 248, 257–58 (6th Cir. 2006) (affirming decision dismissing involuntary petition where creditors “knew or show have known” their claims were subject to good faith disputes).</w:t>
      </w:r>
    </w:p>
    <w:p w:rsidR="00D56F59" w:rsidP="00BA70DA" w:rsidRDefault="007F4AE9" w14:paraId="528BFEA5" w14:textId="481582C5">
      <w:pPr>
        <w:pStyle w:val="ListParagraph"/>
        <w:numPr>
          <w:ilvl w:val="2"/>
          <w:numId w:val="1"/>
        </w:numPr>
      </w:pPr>
      <w:r>
        <w:rPr>
          <w:i/>
          <w:iCs/>
        </w:rPr>
        <w:t xml:space="preserve">See </w:t>
      </w:r>
      <w:r w:rsidRPr="009D73CD" w:rsidR="009D73CD">
        <w:rPr>
          <w:i/>
          <w:iCs/>
        </w:rPr>
        <w:t>In re John Richards Homes Bldg. C</w:t>
      </w:r>
      <w:r w:rsidR="006A5053">
        <w:rPr>
          <w:i/>
          <w:iCs/>
        </w:rPr>
        <w:t>o</w:t>
      </w:r>
      <w:r w:rsidRPr="009D73CD" w:rsidR="009D73CD">
        <w:rPr>
          <w:i/>
          <w:iCs/>
        </w:rPr>
        <w:t>., LLC</w:t>
      </w:r>
      <w:r w:rsidRPr="009D73CD" w:rsidR="009D73CD">
        <w:t>, 291 B.R. 727, 731 (Bankr. E.D. Mich. 2003)</w:t>
      </w:r>
      <w:r w:rsidR="009D73CD">
        <w:t xml:space="preserve"> (dismissing involuntary petition where creditors “knew or should have known” their claims were subject to good faith disputes).</w:t>
      </w:r>
    </w:p>
    <w:p w:rsidR="00F376C6" w:rsidP="00F376C6" w:rsidRDefault="009D73CD" w14:paraId="0E441909" w14:textId="2186B90A">
      <w:pPr>
        <w:pStyle w:val="ListParagraph"/>
        <w:numPr>
          <w:ilvl w:val="2"/>
          <w:numId w:val="1"/>
        </w:numPr>
      </w:pPr>
      <w:r>
        <w:t xml:space="preserve">Thus, </w:t>
      </w:r>
      <w:r w:rsidRPr="00335A09">
        <w:rPr>
          <w:b/>
          <w:bCs/>
        </w:rPr>
        <w:t>common sense is also necessary here.</w:t>
      </w:r>
      <w:r w:rsidRPr="00335A09" w:rsidR="00F376C6">
        <w:rPr>
          <w:b/>
          <w:bCs/>
        </w:rPr>
        <w:t xml:space="preserve"> </w:t>
      </w:r>
      <w:r w:rsidR="00F376C6">
        <w:t xml:space="preserve"> For example, w</w:t>
      </w:r>
      <w:r>
        <w:t>here active litigation or any other dispute resolution process is pending</w:t>
      </w:r>
      <w:r w:rsidR="00694298">
        <w:t>, or demand letters or other correspondence regarding the validity of the claim(s) has been exchanged,</w:t>
      </w:r>
      <w:r>
        <w:t xml:space="preserve"> </w:t>
      </w:r>
      <w:r w:rsidR="00694298">
        <w:t>and the alleged debtor has taken non-frivolous positions</w:t>
      </w:r>
      <w:r w:rsidR="00FE6F0B">
        <w:t xml:space="preserve"> disputed the claim(s)</w:t>
      </w:r>
      <w:r w:rsidR="00694298">
        <w:t xml:space="preserve">, most courts </w:t>
      </w:r>
      <w:r w:rsidR="00F376C6">
        <w:t xml:space="preserve">would probably hold that the petitioning creditor should have known its claim was disputed.  </w:t>
      </w:r>
      <w:r w:rsidR="00F129F4">
        <w:t xml:space="preserve">It is not </w:t>
      </w:r>
      <w:r w:rsidR="00F376C6">
        <w:t xml:space="preserve">enough that the petitioning creditor is convinced its arguments are right, if the alleged debtor has </w:t>
      </w:r>
      <w:r w:rsidR="00F376C6">
        <w:rPr>
          <w:i/>
          <w:iCs/>
        </w:rPr>
        <w:t xml:space="preserve">some </w:t>
      </w:r>
      <w:r w:rsidR="00F376C6">
        <w:t>good faith basis to dispute the claim.</w:t>
      </w:r>
    </w:p>
    <w:p w:rsidRPr="00335A09" w:rsidR="007F216A" w:rsidP="007F216A" w:rsidRDefault="007F216A" w14:paraId="0809333A" w14:textId="6965404F">
      <w:pPr>
        <w:pStyle w:val="ListParagraph"/>
        <w:numPr>
          <w:ilvl w:val="1"/>
          <w:numId w:val="1"/>
        </w:numPr>
        <w:rPr>
          <w:b/>
          <w:bCs/>
        </w:rPr>
      </w:pPr>
      <w:r w:rsidRPr="00335A09">
        <w:rPr>
          <w:b/>
          <w:bCs/>
        </w:rPr>
        <w:t>Insolvency of Alleged Debtor</w:t>
      </w:r>
    </w:p>
    <w:p w:rsidR="00F376C6" w:rsidP="00F376C6" w:rsidRDefault="00404FC0" w14:paraId="6C60F6E8" w14:textId="6F772611">
      <w:pPr>
        <w:pStyle w:val="ListParagraph"/>
        <w:numPr>
          <w:ilvl w:val="2"/>
          <w:numId w:val="1"/>
        </w:numPr>
      </w:pPr>
      <w:r w:rsidRPr="00335A09">
        <w:rPr>
          <w:b/>
          <w:bCs/>
        </w:rPr>
        <w:t>General Test:</w:t>
      </w:r>
      <w:r>
        <w:t xml:space="preserve">  </w:t>
      </w:r>
      <w:r w:rsidR="00FE6F0B">
        <w:t xml:space="preserve">For an involuntary petition to be valid, </w:t>
      </w:r>
      <w:r w:rsidRPr="00404FC0">
        <w:t xml:space="preserve">the debtor </w:t>
      </w:r>
      <w:r w:rsidR="00FE6F0B">
        <w:t>must not be</w:t>
      </w:r>
      <w:r w:rsidRPr="00404FC0">
        <w:t xml:space="preserve"> </w:t>
      </w:r>
      <w:r w:rsidRPr="00404FC0">
        <w:rPr>
          <w:i/>
          <w:iCs/>
        </w:rPr>
        <w:t>generally</w:t>
      </w:r>
      <w:r w:rsidRPr="00404FC0">
        <w:t xml:space="preserve"> paying </w:t>
      </w:r>
      <w:r w:rsidR="00FE6F0B">
        <w:t>its</w:t>
      </w:r>
      <w:r w:rsidRPr="00404FC0">
        <w:t xml:space="preserve"> debts as they come due</w:t>
      </w:r>
      <w:r w:rsidR="00F129F4">
        <w:t xml:space="preserve"> </w:t>
      </w:r>
      <w:r w:rsidRPr="00930945" w:rsidR="00F129F4">
        <w:rPr>
          <w:i/>
          <w:iCs/>
        </w:rPr>
        <w:t>as of the petition date</w:t>
      </w:r>
      <w:r w:rsidRPr="00404FC0">
        <w:t>.</w:t>
      </w:r>
      <w:r>
        <w:t xml:space="preserve">  </w:t>
      </w:r>
      <w:r w:rsidR="00930945">
        <w:t>The petitioning creditors c</w:t>
      </w:r>
      <w:r>
        <w:t>annot merely show that a few debts are unpaid, such as the debts of the petitioning creditors</w:t>
      </w:r>
      <w:r w:rsidR="0067076F">
        <w:t xml:space="preserve">, or that debts were unpaid </w:t>
      </w:r>
      <w:r w:rsidR="0067076F">
        <w:rPr>
          <w:i/>
          <w:iCs/>
        </w:rPr>
        <w:t xml:space="preserve">after </w:t>
      </w:r>
      <w:r w:rsidR="0067076F">
        <w:t>the petition date</w:t>
      </w:r>
      <w:r>
        <w:t xml:space="preserve">; rather, </w:t>
      </w:r>
      <w:r w:rsidR="00930945">
        <w:t xml:space="preserve">they must </w:t>
      </w:r>
      <w:r>
        <w:t xml:space="preserve">show that the majority or at least a substantial portion of </w:t>
      </w:r>
      <w:r w:rsidR="00BC3FF6">
        <w:t xml:space="preserve">the alleged debtors’ debts </w:t>
      </w:r>
      <w:r w:rsidR="0067076F">
        <w:t>we</w:t>
      </w:r>
      <w:r w:rsidR="00BC3FF6">
        <w:t>re not being paid</w:t>
      </w:r>
      <w:r w:rsidR="0067076F">
        <w:t xml:space="preserve"> as of the time of filing</w:t>
      </w:r>
      <w:r w:rsidR="00BC3FF6">
        <w:t xml:space="preserve">.  </w:t>
      </w:r>
      <w:r w:rsidR="00BC3FF6">
        <w:rPr>
          <w:i/>
          <w:iCs/>
        </w:rPr>
        <w:t>See, e.g.</w:t>
      </w:r>
      <w:r w:rsidR="00BC3FF6">
        <w:t xml:space="preserve">, </w:t>
      </w:r>
      <w:r w:rsidRPr="00BC3FF6" w:rsidR="00BC3FF6">
        <w:rPr>
          <w:i/>
          <w:iCs/>
        </w:rPr>
        <w:t>In re Vortex Fishing Sys., Inc.</w:t>
      </w:r>
      <w:r w:rsidRPr="00BC3FF6" w:rsidR="00BC3FF6">
        <w:t>, 277 F.3d 1057 (9th Cir. 2001).</w:t>
      </w:r>
    </w:p>
    <w:p w:rsidR="00970D82" w:rsidP="00970D82" w:rsidRDefault="00970D82" w14:paraId="34008A71" w14:textId="57ADE769">
      <w:pPr>
        <w:pStyle w:val="ListParagraph"/>
        <w:numPr>
          <w:ilvl w:val="3"/>
          <w:numId w:val="1"/>
        </w:numPr>
      </w:pPr>
      <w:r>
        <w:t xml:space="preserve">Note: As with the size of claims and the qualification of individual creditors to serve as petitioners, a good faith dispute regarding a claim may be used by the alleged debtor to remove such claim from the debts considered by the court in determining whether a debtor is generally paying its debts as they come due.  </w:t>
      </w:r>
      <w:r>
        <w:rPr>
          <w:i/>
          <w:iCs/>
        </w:rPr>
        <w:t>See, e.g.</w:t>
      </w:r>
      <w:r>
        <w:t xml:space="preserve">, </w:t>
      </w:r>
      <w:r>
        <w:rPr>
          <w:i/>
          <w:iCs/>
        </w:rPr>
        <w:t>In re Covey</w:t>
      </w:r>
      <w:r>
        <w:t>, 650 F.2d 877, 883 (7th Cir. 1981).</w:t>
      </w:r>
    </w:p>
    <w:p w:rsidR="004350CA" w:rsidP="00F376C6" w:rsidRDefault="00930945" w14:paraId="39F13CBD" w14:textId="15510773">
      <w:pPr>
        <w:pStyle w:val="ListParagraph"/>
        <w:numPr>
          <w:ilvl w:val="2"/>
          <w:numId w:val="1"/>
        </w:numPr>
      </w:pPr>
      <w:r>
        <w:rPr>
          <w:b/>
          <w:bCs/>
        </w:rPr>
        <w:t>The e</w:t>
      </w:r>
      <w:r w:rsidRPr="00335A09" w:rsidR="00BC3FF6">
        <w:rPr>
          <w:b/>
          <w:bCs/>
        </w:rPr>
        <w:t xml:space="preserve">xact level of investigation </w:t>
      </w:r>
      <w:r w:rsidRPr="00335A09" w:rsidR="00EF56D1">
        <w:rPr>
          <w:b/>
          <w:bCs/>
        </w:rPr>
        <w:t xml:space="preserve">is muddy </w:t>
      </w:r>
      <w:r w:rsidRPr="00335A09" w:rsidR="00BC3FF6">
        <w:rPr>
          <w:b/>
          <w:bCs/>
        </w:rPr>
        <w:t xml:space="preserve">under the case law, but </w:t>
      </w:r>
      <w:r w:rsidRPr="00335A09" w:rsidR="00EF56D1">
        <w:rPr>
          <w:b/>
          <w:bCs/>
        </w:rPr>
        <w:t xml:space="preserve">it is clear that </w:t>
      </w:r>
      <w:r w:rsidRPr="00335A09" w:rsidR="00BC3FF6">
        <w:rPr>
          <w:b/>
          <w:bCs/>
        </w:rPr>
        <w:t>petition</w:t>
      </w:r>
      <w:r w:rsidRPr="00335A09" w:rsidR="00EF56D1">
        <w:rPr>
          <w:b/>
          <w:bCs/>
        </w:rPr>
        <w:t xml:space="preserve">ing </w:t>
      </w:r>
      <w:r w:rsidRPr="00335A09" w:rsidR="00BC3FF6">
        <w:rPr>
          <w:b/>
          <w:bCs/>
        </w:rPr>
        <w:t xml:space="preserve">creditors “[m]ust make </w:t>
      </w:r>
      <w:r w:rsidRPr="00335A09" w:rsidR="00BC3FF6">
        <w:rPr>
          <w:b/>
          <w:bCs/>
          <w:i/>
          <w:iCs/>
        </w:rPr>
        <w:t>at least some</w:t>
      </w:r>
      <w:r w:rsidRPr="00335A09" w:rsidR="00BC3FF6">
        <w:rPr>
          <w:b/>
          <w:bCs/>
        </w:rPr>
        <w:t xml:space="preserve"> inquiry into </w:t>
      </w:r>
      <w:r w:rsidRPr="00335A09" w:rsidR="00BC3FF6">
        <w:rPr>
          <w:b/>
          <w:bCs/>
        </w:rPr>
        <w:lastRenderedPageBreak/>
        <w:t>whether the debtor is paying their debts as they come due.”</w:t>
      </w:r>
      <w:r w:rsidRPr="00BC3FF6" w:rsidR="00BC3FF6">
        <w:t xml:space="preserve"> </w:t>
      </w:r>
      <w:r w:rsidR="00BC3FF6">
        <w:t xml:space="preserve"> </w:t>
      </w:r>
      <w:r w:rsidRPr="00BC3FF6" w:rsidR="00BC3FF6">
        <w:rPr>
          <w:i/>
          <w:iCs/>
        </w:rPr>
        <w:t>In re Cannon Express Corp.</w:t>
      </w:r>
      <w:r w:rsidRPr="00BC3FF6" w:rsidR="00BC3FF6">
        <w:t>, 280 B.R. 450 (Bankr. W.D. Ark. 2002)</w:t>
      </w:r>
      <w:r w:rsidR="00EF56D1">
        <w:t xml:space="preserve"> (emphasis added)</w:t>
      </w:r>
      <w:r w:rsidR="00BC3FF6">
        <w:t xml:space="preserve">.  </w:t>
      </w:r>
      <w:r w:rsidR="00EF56D1">
        <w:t>S</w:t>
      </w:r>
      <w:r w:rsidR="00BC3FF6">
        <w:t xml:space="preserve">uch an investigation may be difficult to accomplish, as petitioning creditors </w:t>
      </w:r>
      <w:r>
        <w:t xml:space="preserve">likely </w:t>
      </w:r>
      <w:r w:rsidR="00BC3FF6">
        <w:t>will not have access to an alleged debtor’s financial records</w:t>
      </w:r>
      <w:r w:rsidR="00EF56D1">
        <w:t>; h</w:t>
      </w:r>
      <w:r w:rsidR="00BC3FF6">
        <w:t>owever, the</w:t>
      </w:r>
      <w:r w:rsidR="00EF56D1">
        <w:t>re must still be “at least some” minimal investigation into the alleged debtor’s insolvency.</w:t>
      </w:r>
    </w:p>
    <w:p w:rsidR="00BC3FF6" w:rsidP="00F376C6" w:rsidRDefault="00EF56D1" w14:paraId="7EF06888" w14:textId="13B5E6CE">
      <w:pPr>
        <w:pStyle w:val="ListParagraph"/>
        <w:numPr>
          <w:ilvl w:val="2"/>
          <w:numId w:val="1"/>
        </w:numPr>
      </w:pPr>
      <w:r>
        <w:t xml:space="preserve">As a practical matter, </w:t>
      </w:r>
      <w:r w:rsidRPr="00335A09">
        <w:rPr>
          <w:b/>
          <w:bCs/>
        </w:rPr>
        <w:t>such an investigation could mirror the research into the size of the alleged debtor and number of creditors</w:t>
      </w:r>
      <w:r w:rsidRPr="00335A09" w:rsidR="00F129F4">
        <w:rPr>
          <w:b/>
          <w:bCs/>
        </w:rPr>
        <w:t>.</w:t>
      </w:r>
      <w:r w:rsidR="004D2898">
        <w:t xml:space="preserve">  </w:t>
      </w:r>
      <w:r w:rsidR="00F129F4">
        <w:t>F</w:t>
      </w:r>
      <w:r w:rsidR="004D2898">
        <w:t>or example, when soliciting other potential petitioners, it would be prudent to at least inquire into missed payments to such potential petition</w:t>
      </w:r>
      <w:r w:rsidR="00930945">
        <w:t>ing creditors</w:t>
      </w:r>
      <w:r w:rsidR="004D2898">
        <w:t xml:space="preserve"> by the alleged debtor, as well as the size, disputed status, </w:t>
      </w:r>
      <w:r w:rsidR="00930945">
        <w:t>etc.</w:t>
      </w:r>
      <w:r w:rsidR="004D2898">
        <w:t xml:space="preserve"> of such potential petitioner’s claims, if any, against the alleged debtor.</w:t>
      </w:r>
    </w:p>
    <w:p w:rsidRPr="00335A09" w:rsidR="00AB4CE1" w:rsidP="00AB4CE1" w:rsidRDefault="00AB4CE1" w14:paraId="378EE8E2" w14:textId="1F1B8C46">
      <w:pPr>
        <w:pStyle w:val="ListParagraph"/>
        <w:numPr>
          <w:ilvl w:val="0"/>
          <w:numId w:val="1"/>
        </w:numPr>
        <w:rPr>
          <w:b/>
          <w:bCs/>
        </w:rPr>
      </w:pPr>
      <w:r w:rsidRPr="00335A09">
        <w:rPr>
          <w:b/>
          <w:bCs/>
        </w:rPr>
        <w:t xml:space="preserve">Bad Faith Filings </w:t>
      </w:r>
      <w:r w:rsidRPr="00335A09" w:rsidR="00335A09">
        <w:rPr>
          <w:b/>
          <w:bCs/>
        </w:rPr>
        <w:t>and</w:t>
      </w:r>
      <w:r w:rsidRPr="00335A09">
        <w:rPr>
          <w:b/>
          <w:bCs/>
        </w:rPr>
        <w:t xml:space="preserve"> Other Abuse or Misuse of the Involuntary Process</w:t>
      </w:r>
    </w:p>
    <w:p w:rsidRPr="00335A09" w:rsidR="004350CA" w:rsidP="004350CA" w:rsidRDefault="004350CA" w14:paraId="6E37BBDD" w14:textId="678D062E">
      <w:pPr>
        <w:pStyle w:val="ListParagraph"/>
        <w:numPr>
          <w:ilvl w:val="1"/>
          <w:numId w:val="1"/>
        </w:numPr>
        <w:rPr>
          <w:b/>
          <w:bCs/>
        </w:rPr>
      </w:pPr>
      <w:r w:rsidRPr="00335A09">
        <w:rPr>
          <w:b/>
          <w:bCs/>
        </w:rPr>
        <w:t>Essentially the same set of ‘bad faith filing’ tests as in the voluntary context</w:t>
      </w:r>
      <w:r w:rsidRPr="00335A09" w:rsidR="005B06C1">
        <w:rPr>
          <w:b/>
          <w:bCs/>
        </w:rPr>
        <w:t xml:space="preserve">, under </w:t>
      </w:r>
      <w:r w:rsidR="00335A09">
        <w:rPr>
          <w:b/>
          <w:bCs/>
        </w:rPr>
        <w:t>S</w:t>
      </w:r>
      <w:r w:rsidRPr="00335A09" w:rsidR="005B06C1">
        <w:rPr>
          <w:b/>
          <w:bCs/>
        </w:rPr>
        <w:t>ections 305(a), 707(a), and/or 1112</w:t>
      </w:r>
      <w:r w:rsidR="00335A09">
        <w:rPr>
          <w:b/>
          <w:bCs/>
        </w:rPr>
        <w:t xml:space="preserve"> of the Bankruptcy Code</w:t>
      </w:r>
      <w:r w:rsidRPr="00335A09" w:rsidR="005B06C1">
        <w:rPr>
          <w:b/>
          <w:bCs/>
        </w:rPr>
        <w:t>.</w:t>
      </w:r>
    </w:p>
    <w:p w:rsidR="004350CA" w:rsidP="004350CA" w:rsidRDefault="006A5053" w14:paraId="2924EF6F" w14:textId="5BC5787B">
      <w:pPr>
        <w:pStyle w:val="ListParagraph"/>
        <w:numPr>
          <w:ilvl w:val="1"/>
          <w:numId w:val="1"/>
        </w:numPr>
      </w:pPr>
      <w:r w:rsidRPr="00335A09">
        <w:rPr>
          <w:b/>
          <w:bCs/>
          <w:u w:val="single"/>
        </w:rPr>
        <w:t>Subjective Test</w:t>
      </w:r>
      <w:r w:rsidRPr="00335A09">
        <w:rPr>
          <w:b/>
          <w:bCs/>
        </w:rPr>
        <w:t>, or b</w:t>
      </w:r>
      <w:r w:rsidRPr="00335A09" w:rsidR="004350CA">
        <w:rPr>
          <w:b/>
          <w:bCs/>
        </w:rPr>
        <w:t>ad faith based on improper purpose: why the petitioning creditor sought to file the involuntary case.</w:t>
      </w:r>
    </w:p>
    <w:p w:rsidR="004350CA" w:rsidP="004350CA" w:rsidRDefault="004350CA" w14:paraId="0902426E" w14:textId="6BE37B28">
      <w:pPr>
        <w:pStyle w:val="ListParagraph"/>
        <w:numPr>
          <w:ilvl w:val="2"/>
          <w:numId w:val="1"/>
        </w:numPr>
      </w:pPr>
      <w:r>
        <w:t xml:space="preserve">May not use an involuntary as a substitute for ordinary debt collection.  </w:t>
      </w:r>
      <w:r>
        <w:rPr>
          <w:i/>
          <w:iCs/>
        </w:rPr>
        <w:t>E.g.</w:t>
      </w:r>
      <w:r>
        <w:t xml:space="preserve">, </w:t>
      </w:r>
      <w:r w:rsidRPr="004350CA">
        <w:rPr>
          <w:i/>
          <w:iCs/>
        </w:rPr>
        <w:t>MAG Bus. Servs. v. Whiteside (In re Whiteside)</w:t>
      </w:r>
      <w:r>
        <w:t>, 240 B.R. 762, 766 (Bankr. W.D. Mo. 1999).</w:t>
      </w:r>
    </w:p>
    <w:p w:rsidR="004350CA" w:rsidP="004350CA" w:rsidRDefault="004350CA" w14:paraId="36BB25EA" w14:textId="07BAABAB">
      <w:pPr>
        <w:pStyle w:val="ListParagraph"/>
        <w:numPr>
          <w:ilvl w:val="2"/>
          <w:numId w:val="1"/>
        </w:numPr>
      </w:pPr>
      <w:r>
        <w:t xml:space="preserve">May not use an involuntary purely to gain a strategic/tactical litigation advantage over other creditors.  </w:t>
      </w:r>
      <w:r w:rsidRPr="004350CA">
        <w:rPr>
          <w:i/>
          <w:iCs/>
        </w:rPr>
        <w:t>In re Silverman</w:t>
      </w:r>
      <w:r>
        <w:t>, 230 B.R. 46, 53 (Bankr. D. N.J. 1998).</w:t>
      </w:r>
    </w:p>
    <w:p w:rsidR="004350CA" w:rsidP="004350CA" w:rsidRDefault="004350CA" w14:paraId="44AA6570" w14:textId="07E9D4C3">
      <w:pPr>
        <w:pStyle w:val="ListParagraph"/>
        <w:numPr>
          <w:ilvl w:val="2"/>
          <w:numId w:val="1"/>
        </w:numPr>
      </w:pPr>
      <w:r>
        <w:t xml:space="preserve">May not use an involuntary as a means </w:t>
      </w:r>
      <w:r w:rsidR="006A5053">
        <w:t xml:space="preserve">of revenge or purely </w:t>
      </w:r>
      <w:r>
        <w:t>to cause reputational harm</w:t>
      </w:r>
      <w:r w:rsidR="006A5053">
        <w:t xml:space="preserve"> to an alleged debtor</w:t>
      </w:r>
      <w:r>
        <w:t>.</w:t>
      </w:r>
      <w:r w:rsidR="00DD5386">
        <w:t xml:space="preserve">  </w:t>
      </w:r>
      <w:r w:rsidR="008E732E">
        <w:rPr>
          <w:i/>
          <w:iCs/>
        </w:rPr>
        <w:t xml:space="preserve">See </w:t>
      </w:r>
      <w:r w:rsidRPr="00DD5386" w:rsidR="00DD5386">
        <w:rPr>
          <w:i/>
          <w:iCs/>
        </w:rPr>
        <w:t>In re John Richards Homes Bldg. Co., LLC</w:t>
      </w:r>
      <w:r w:rsidRPr="00DD5386" w:rsidR="00DD5386">
        <w:t>, 291 B.R. 727, 73</w:t>
      </w:r>
      <w:r w:rsidR="00DD5386">
        <w:t>2</w:t>
      </w:r>
      <w:r w:rsidRPr="00DD5386" w:rsidR="00DD5386">
        <w:t xml:space="preserve"> (Bankr. E.D. Mich. 2003)</w:t>
      </w:r>
      <w:r w:rsidR="00DD5386">
        <w:t xml:space="preserve">, </w:t>
      </w:r>
      <w:r w:rsidR="00943177">
        <w:rPr>
          <w:i/>
          <w:iCs/>
        </w:rPr>
        <w:t>aff’d</w:t>
      </w:r>
      <w:r w:rsidR="00943177">
        <w:t xml:space="preserve">, </w:t>
      </w:r>
      <w:r w:rsidRPr="00943177" w:rsidR="00943177">
        <w:rPr>
          <w:i/>
          <w:iCs/>
        </w:rPr>
        <w:t>Adell v. John Richards Homes Bldg. Co., L.L.C. (In re John Richards Homes Bldg. Co., L.L.C.)</w:t>
      </w:r>
      <w:r w:rsidRPr="00943177" w:rsidR="00943177">
        <w:t>, 439 F.3d 248, 2</w:t>
      </w:r>
      <w:r w:rsidR="00943177">
        <w:t>62, 265</w:t>
      </w:r>
      <w:r w:rsidRPr="00943177" w:rsidR="00943177">
        <w:t xml:space="preserve"> (6th Cir. 2006)</w:t>
      </w:r>
    </w:p>
    <w:p w:rsidR="004350CA" w:rsidP="006A5053" w:rsidRDefault="006A5053" w14:paraId="580254F3" w14:textId="1462E0E0">
      <w:pPr>
        <w:pStyle w:val="ListParagraph"/>
        <w:numPr>
          <w:ilvl w:val="2"/>
          <w:numId w:val="1"/>
        </w:numPr>
      </w:pPr>
      <w:r>
        <w:t xml:space="preserve">May not use an involuntary solely as a means of temporarily </w:t>
      </w:r>
      <w:r w:rsidR="004350CA">
        <w:t>prevent</w:t>
      </w:r>
      <w:r>
        <w:t>ing the</w:t>
      </w:r>
      <w:r w:rsidR="004350CA">
        <w:t xml:space="preserve"> dissipation of assets</w:t>
      </w:r>
      <w:r>
        <w:t xml:space="preserve"> where there otherwise is no basis to file</w:t>
      </w:r>
      <w:r w:rsidR="004350CA">
        <w:t xml:space="preserve">.  </w:t>
      </w:r>
      <w:r w:rsidRPr="006A5053" w:rsidR="004350CA">
        <w:rPr>
          <w:i/>
          <w:iCs/>
        </w:rPr>
        <w:t>Cannon Express</w:t>
      </w:r>
      <w:r w:rsidR="004350CA">
        <w:t xml:space="preserve">, 280 B.R. </w:t>
      </w:r>
      <w:r>
        <w:t xml:space="preserve">at </w:t>
      </w:r>
      <w:r w:rsidR="004350CA">
        <w:t>455.</w:t>
      </w:r>
    </w:p>
    <w:p w:rsidRPr="00335A09" w:rsidR="00132BD1" w:rsidP="006A5053" w:rsidRDefault="006A5053" w14:paraId="00BA8180" w14:textId="77777777">
      <w:pPr>
        <w:pStyle w:val="ListParagraph"/>
        <w:numPr>
          <w:ilvl w:val="1"/>
          <w:numId w:val="1"/>
        </w:numPr>
        <w:rPr>
          <w:b/>
          <w:bCs/>
        </w:rPr>
      </w:pPr>
      <w:r w:rsidRPr="00335A09">
        <w:rPr>
          <w:b/>
          <w:bCs/>
          <w:u w:val="single"/>
        </w:rPr>
        <w:t>Objective Test</w:t>
      </w:r>
      <w:r w:rsidRPr="00335A09">
        <w:rPr>
          <w:b/>
          <w:bCs/>
        </w:rPr>
        <w:t>, or bad faith based on whether a reasonable creditor in a similar position to the petitioner would have commenced an involuntary</w:t>
      </w:r>
    </w:p>
    <w:p w:rsidR="00676C5F" w:rsidP="00FF59F1" w:rsidRDefault="00132BD1" w14:paraId="44E62D57" w14:textId="5C915088">
      <w:pPr>
        <w:pStyle w:val="ListParagraph"/>
        <w:numPr>
          <w:ilvl w:val="2"/>
          <w:numId w:val="1"/>
        </w:numPr>
      </w:pPr>
      <w:r>
        <w:t>T</w:t>
      </w:r>
      <w:r w:rsidR="006A5053">
        <w:t xml:space="preserve">hese cases </w:t>
      </w:r>
      <w:r>
        <w:t xml:space="preserve">essentially look at whether (a) the petitioning creditors properly conducted their pre-suit investigation and (b) there was </w:t>
      </w:r>
      <w:r>
        <w:rPr>
          <w:i/>
          <w:iCs/>
        </w:rPr>
        <w:t xml:space="preserve">some </w:t>
      </w:r>
      <w:r>
        <w:t xml:space="preserve">basis in reason to commence the involuntary.  </w:t>
      </w:r>
      <w:r>
        <w:rPr>
          <w:i/>
          <w:iCs/>
        </w:rPr>
        <w:t>See, e.g.</w:t>
      </w:r>
      <w:r>
        <w:t xml:space="preserve">, </w:t>
      </w:r>
      <w:r w:rsidRPr="00FF59F1" w:rsidR="00FF59F1">
        <w:rPr>
          <w:i/>
          <w:iCs/>
        </w:rPr>
        <w:t>In re Midwest Processing Co.,</w:t>
      </w:r>
      <w:r w:rsidRPr="00FF59F1" w:rsidR="00FF59F1">
        <w:t> 41 B.R. 90, 103 (Bankr. D. N.D. 1984)</w:t>
      </w:r>
      <w:r w:rsidR="00FF59F1">
        <w:t>.</w:t>
      </w:r>
    </w:p>
    <w:p w:rsidR="00FF59F1" w:rsidP="00FF59F1" w:rsidRDefault="00FF59F1" w14:paraId="4DCB5D9A" w14:textId="63779BC8">
      <w:pPr>
        <w:pStyle w:val="ListParagraph"/>
        <w:numPr>
          <w:ilvl w:val="1"/>
          <w:numId w:val="1"/>
        </w:numPr>
      </w:pPr>
      <w:r w:rsidRPr="00335A09">
        <w:rPr>
          <w:b/>
          <w:bCs/>
          <w:u w:val="single"/>
        </w:rPr>
        <w:t>Combined Test</w:t>
      </w:r>
      <w:r w:rsidRPr="00335A09">
        <w:rPr>
          <w:b/>
          <w:bCs/>
        </w:rPr>
        <w:t xml:space="preserve">.  Some courts consider both </w:t>
      </w:r>
      <w:r w:rsidR="00930945">
        <w:rPr>
          <w:b/>
          <w:bCs/>
        </w:rPr>
        <w:t xml:space="preserve">tests; </w:t>
      </w:r>
      <w:r w:rsidRPr="00335A09">
        <w:rPr>
          <w:b/>
          <w:bCs/>
        </w:rPr>
        <w:t>wh</w:t>
      </w:r>
      <w:r w:rsidR="00930945">
        <w:rPr>
          <w:b/>
          <w:bCs/>
        </w:rPr>
        <w:t>ether</w:t>
      </w:r>
      <w:r w:rsidRPr="00335A09">
        <w:rPr>
          <w:b/>
          <w:bCs/>
        </w:rPr>
        <w:t xml:space="preserve"> there was a proper purpose for filing the involuntary and whether the petitioning creditors acted reasonabl</w:t>
      </w:r>
      <w:r w:rsidR="00930945">
        <w:rPr>
          <w:b/>
          <w:bCs/>
        </w:rPr>
        <w:t>y</w:t>
      </w:r>
      <w:r w:rsidRPr="00335A09">
        <w:rPr>
          <w:b/>
          <w:bCs/>
        </w:rPr>
        <w:t xml:space="preserve"> in deciding to commence the case. </w:t>
      </w:r>
      <w:r>
        <w:t xml:space="preserve"> </w:t>
      </w:r>
      <w:r>
        <w:rPr>
          <w:i/>
          <w:iCs/>
        </w:rPr>
        <w:t>See, e.g.</w:t>
      </w:r>
      <w:r>
        <w:t xml:space="preserve">, </w:t>
      </w:r>
      <w:r w:rsidRPr="00F800B2" w:rsidR="00F800B2">
        <w:rPr>
          <w:i/>
          <w:iCs/>
        </w:rPr>
        <w:t>In re Tichy Elec. Co.</w:t>
      </w:r>
      <w:r w:rsidRPr="00F800B2" w:rsidR="00F800B2">
        <w:t>, 332 B.R. 364 (Bankr. N.D. Iowa 2005)</w:t>
      </w:r>
      <w:r w:rsidR="00F800B2">
        <w:t xml:space="preserve"> (discussing both tests as being complementary).</w:t>
      </w:r>
    </w:p>
    <w:p w:rsidRPr="00335A09" w:rsidR="00C97269" w:rsidP="00C97269" w:rsidRDefault="00C97269" w14:paraId="29D7DA2E" w14:textId="16AAE4D4">
      <w:pPr>
        <w:pStyle w:val="ListParagraph"/>
        <w:numPr>
          <w:ilvl w:val="0"/>
          <w:numId w:val="1"/>
        </w:numPr>
        <w:rPr>
          <w:b/>
          <w:bCs/>
        </w:rPr>
      </w:pPr>
      <w:r w:rsidRPr="00335A09">
        <w:rPr>
          <w:b/>
          <w:bCs/>
        </w:rPr>
        <w:t xml:space="preserve">Claim Acquisition </w:t>
      </w:r>
      <w:r w:rsidRPr="00335A09" w:rsidR="005B06C1">
        <w:rPr>
          <w:b/>
          <w:bCs/>
        </w:rPr>
        <w:t>Before Filing</w:t>
      </w:r>
    </w:p>
    <w:p w:rsidR="002653AD" w:rsidP="00C97269" w:rsidRDefault="00497C39" w14:paraId="7E88031A" w14:textId="6834BF2C">
      <w:pPr>
        <w:pStyle w:val="ListParagraph"/>
        <w:numPr>
          <w:ilvl w:val="1"/>
          <w:numId w:val="1"/>
        </w:numPr>
      </w:pPr>
      <w:r>
        <w:t xml:space="preserve">It is possible for a creditor who has acquired a claim against the debtor to commence an involuntary case, assuming all other requirements are met under </w:t>
      </w:r>
      <w:r w:rsidR="00335A09">
        <w:t>S</w:t>
      </w:r>
      <w:r>
        <w:t>ection 303</w:t>
      </w:r>
      <w:r w:rsidR="00335A09">
        <w:t xml:space="preserve"> of the Bankruptcy Code</w:t>
      </w:r>
      <w:r w:rsidR="00F31DE7">
        <w:t>,</w:t>
      </w:r>
      <w:r w:rsidR="005B06C1">
        <w:t xml:space="preserve"> and</w:t>
      </w:r>
      <w:r w:rsidR="00F31DE7">
        <w:t xml:space="preserve"> </w:t>
      </w:r>
      <w:r w:rsidR="00F31DE7">
        <w:rPr>
          <w:i/>
          <w:iCs/>
        </w:rPr>
        <w:t xml:space="preserve">so long as </w:t>
      </w:r>
      <w:r w:rsidR="00F31DE7">
        <w:t xml:space="preserve">the </w:t>
      </w:r>
      <w:r w:rsidR="00EA573A">
        <w:t xml:space="preserve">claim </w:t>
      </w:r>
      <w:r w:rsidR="00F31DE7">
        <w:t xml:space="preserve">was </w:t>
      </w:r>
      <w:r w:rsidR="00EA573A">
        <w:t xml:space="preserve">not been purchased for the </w:t>
      </w:r>
      <w:r w:rsidR="00EA573A">
        <w:lastRenderedPageBreak/>
        <w:t xml:space="preserve">purpose of commencing the involuntary case.  </w:t>
      </w:r>
      <w:r w:rsidR="00EA573A">
        <w:rPr>
          <w:i/>
          <w:iCs/>
        </w:rPr>
        <w:t xml:space="preserve">See </w:t>
      </w:r>
      <w:r w:rsidR="00EA573A">
        <w:t>Fed. R. Bankr. P. 1003</w:t>
      </w:r>
      <w:r w:rsidR="002653AD">
        <w:t>(a)</w:t>
      </w:r>
      <w:r w:rsidR="00F31DE7">
        <w:t xml:space="preserve">; </w:t>
      </w:r>
      <w:r w:rsidR="00F31DE7">
        <w:rPr>
          <w:i/>
          <w:iCs/>
        </w:rPr>
        <w:t>see also, e.g.</w:t>
      </w:r>
      <w:r w:rsidR="00F31DE7">
        <w:t xml:space="preserve">, </w:t>
      </w:r>
      <w:r w:rsidR="00F31DE7">
        <w:rPr>
          <w:i/>
          <w:iCs/>
        </w:rPr>
        <w:t>Kelly v. Herrell</w:t>
      </w:r>
      <w:r w:rsidR="00F31DE7">
        <w:t>, 602 F. App’x 642, 647 (7th Cir. 2015)</w:t>
      </w:r>
      <w:r w:rsidR="002653AD">
        <w:t xml:space="preserve">; </w:t>
      </w:r>
      <w:r w:rsidR="002653AD">
        <w:rPr>
          <w:i/>
          <w:iCs/>
        </w:rPr>
        <w:t>In re Banner Res., LLC</w:t>
      </w:r>
      <w:r w:rsidR="002653AD">
        <w:t>, No. </w:t>
      </w:r>
      <w:r w:rsidRPr="002653AD" w:rsidR="002653AD">
        <w:t>21-60016</w:t>
      </w:r>
      <w:r w:rsidR="002653AD">
        <w:t>, 2021 Bankr. LEXIS 1452, at *2–3 (Bankr. N.D. Tex. May 28, 2021).</w:t>
      </w:r>
    </w:p>
    <w:p w:rsidRPr="00F31DE7" w:rsidR="00497C39" w:rsidP="00C97269" w:rsidRDefault="00FE6F0B" w14:paraId="366A91A9" w14:textId="5938D352">
      <w:pPr>
        <w:pStyle w:val="ListParagraph"/>
        <w:numPr>
          <w:ilvl w:val="1"/>
          <w:numId w:val="1"/>
        </w:numPr>
      </w:pPr>
      <w:r>
        <w:rPr>
          <w:b/>
          <w:bCs/>
        </w:rPr>
        <w:t xml:space="preserve">Bankruptcy </w:t>
      </w:r>
      <w:r w:rsidRPr="00335A09" w:rsidR="00EA573A">
        <w:rPr>
          <w:b/>
          <w:bCs/>
        </w:rPr>
        <w:t>Rule 1003</w:t>
      </w:r>
      <w:r w:rsidR="00EA573A">
        <w:t xml:space="preserve"> requires petitioning creditors to disclose </w:t>
      </w:r>
      <w:r w:rsidR="00831793">
        <w:t xml:space="preserve">whether they have acquired their claim(s) and the terms of such acquisition, and to state under penalty of perjury that the purchase was not made in order to commence an involuntary case.  </w:t>
      </w:r>
      <w:r w:rsidRPr="00F31DE7" w:rsidR="00F31DE7">
        <w:t>Fed. R. Bankr. P.</w:t>
      </w:r>
      <w:r w:rsidR="00F31DE7">
        <w:t> </w:t>
      </w:r>
      <w:r w:rsidRPr="00F31DE7" w:rsidR="00831793">
        <w:t>1003</w:t>
      </w:r>
      <w:r w:rsidRPr="00F31DE7" w:rsidR="00F31DE7">
        <w:t>(a)</w:t>
      </w:r>
    </w:p>
    <w:p w:rsidRPr="00335A09" w:rsidR="005D2564" w:rsidP="002653AD" w:rsidRDefault="00256F12" w14:paraId="6FEAE628" w14:textId="1009DDB2">
      <w:pPr>
        <w:pStyle w:val="ListParagraph"/>
        <w:keepNext/>
        <w:numPr>
          <w:ilvl w:val="0"/>
          <w:numId w:val="1"/>
        </w:numPr>
        <w:rPr>
          <w:b/>
          <w:bCs/>
        </w:rPr>
      </w:pPr>
      <w:r w:rsidRPr="00335A09">
        <w:rPr>
          <w:b/>
          <w:bCs/>
        </w:rPr>
        <w:t>Service</w:t>
      </w:r>
      <w:r w:rsidRPr="00335A09" w:rsidR="005D2564">
        <w:rPr>
          <w:b/>
          <w:bCs/>
        </w:rPr>
        <w:t xml:space="preserve"> Requirement for </w:t>
      </w:r>
      <w:r w:rsidRPr="00335A09" w:rsidR="0041543A">
        <w:rPr>
          <w:b/>
          <w:bCs/>
        </w:rPr>
        <w:t>Summons and</w:t>
      </w:r>
      <w:r w:rsidRPr="00335A09" w:rsidR="00E77F79">
        <w:rPr>
          <w:b/>
          <w:bCs/>
        </w:rPr>
        <w:t xml:space="preserve"> Involuntary</w:t>
      </w:r>
      <w:r w:rsidRPr="00335A09" w:rsidR="0041543A">
        <w:rPr>
          <w:b/>
          <w:bCs/>
        </w:rPr>
        <w:t xml:space="preserve"> Petition</w:t>
      </w:r>
    </w:p>
    <w:p w:rsidR="008520D5" w:rsidP="008520D5" w:rsidRDefault="00256F12" w14:paraId="43632345" w14:textId="5D44D26D">
      <w:pPr>
        <w:pStyle w:val="ListParagraph"/>
        <w:numPr>
          <w:ilvl w:val="1"/>
          <w:numId w:val="1"/>
        </w:numPr>
      </w:pPr>
      <w:r>
        <w:t xml:space="preserve">The summons and </w:t>
      </w:r>
      <w:r w:rsidR="008520D5">
        <w:t>petition must be served on the alleged debtor</w:t>
      </w:r>
      <w:r>
        <w:t xml:space="preserve"> in accordance with </w:t>
      </w:r>
      <w:r w:rsidR="00FE6F0B">
        <w:t xml:space="preserve">Bankruptcy </w:t>
      </w:r>
      <w:r>
        <w:t xml:space="preserve">Rules 7004(a) or (b)—the rules for serving the summons and complaint in an adversary proceeding.  </w:t>
      </w:r>
      <w:r>
        <w:rPr>
          <w:i/>
          <w:iCs/>
        </w:rPr>
        <w:t>See</w:t>
      </w:r>
      <w:r>
        <w:t xml:space="preserve"> Fed. R. Bankr. P. 1010(a).  If such service cannot be accomplished, copies can be mailed (on order of the court) to the last known address of the alleged debtor.  </w:t>
      </w:r>
      <w:r>
        <w:rPr>
          <w:i/>
          <w:iCs/>
        </w:rPr>
        <w:t>See id.</w:t>
      </w:r>
    </w:p>
    <w:p w:rsidR="00E41656" w:rsidP="00E41656" w:rsidRDefault="00256F12" w14:paraId="687B316B" w14:textId="03BE7C8D">
      <w:pPr>
        <w:pStyle w:val="ListParagraph"/>
        <w:numPr>
          <w:ilvl w:val="1"/>
          <w:numId w:val="1"/>
        </w:numPr>
      </w:pPr>
      <w:r>
        <w:t>Thus, in essence, service of the summons and involuntary petition must be conducted in the same manner as serving a complaint in an adversary proceeding</w:t>
      </w:r>
      <w:r w:rsidR="0041543A">
        <w:t xml:space="preserve"> and any of the regular methods for serving a complaint under </w:t>
      </w:r>
      <w:r w:rsidR="00FE6F0B">
        <w:t xml:space="preserve">Federal </w:t>
      </w:r>
      <w:r w:rsidR="0041543A">
        <w:t>Rule </w:t>
      </w:r>
      <w:r w:rsidR="00FE6F0B">
        <w:t xml:space="preserve">of Civil Procedure </w:t>
      </w:r>
      <w:r w:rsidR="0041543A">
        <w:t xml:space="preserve">4 or applicable nonbankruptcy law, as well as mail service via </w:t>
      </w:r>
      <w:r w:rsidR="00FE6F0B">
        <w:t xml:space="preserve">Bankruptcy </w:t>
      </w:r>
      <w:r w:rsidR="0041543A">
        <w:t>Rule 7004(b), will suffice.</w:t>
      </w:r>
    </w:p>
    <w:p w:rsidR="00E2577C" w:rsidP="00E41656" w:rsidRDefault="00E2577C" w14:paraId="7750208B" w14:textId="526D07E0">
      <w:pPr>
        <w:pStyle w:val="ListParagraph"/>
        <w:numPr>
          <w:ilvl w:val="1"/>
          <w:numId w:val="1"/>
        </w:numPr>
      </w:pPr>
      <w:r>
        <w:t xml:space="preserve">Failure to properly serve the alleged debtor has been considered as one indicator that </w:t>
      </w:r>
      <w:r w:rsidR="007B69ED">
        <w:t xml:space="preserve">the petition was filed in bad faith or otherwise that the petitioning creditors have some improper motive for commencing the involuntary.  </w:t>
      </w:r>
      <w:r w:rsidR="007B69ED">
        <w:rPr>
          <w:i/>
          <w:iCs/>
        </w:rPr>
        <w:t xml:space="preserve">See </w:t>
      </w:r>
      <w:r w:rsidRPr="007B69ED" w:rsidR="007B69ED">
        <w:rPr>
          <w:i/>
          <w:iCs/>
        </w:rPr>
        <w:t>In re Cadena</w:t>
      </w:r>
      <w:r w:rsidRPr="007B69ED" w:rsidR="007B69ED">
        <w:t>, 634 B.R. 1038, 1052 (Bankr. C.D. Cal. 2022)</w:t>
      </w:r>
      <w:r w:rsidR="007B69ED">
        <w:t>.</w:t>
      </w:r>
    </w:p>
    <w:p w:rsidRPr="00335A09" w:rsidR="005D2564" w:rsidP="00177C5F" w:rsidRDefault="005D2564" w14:paraId="312E8F2F" w14:textId="6BBABFFF">
      <w:pPr>
        <w:pStyle w:val="ListParagraph"/>
        <w:numPr>
          <w:ilvl w:val="0"/>
          <w:numId w:val="1"/>
        </w:numPr>
        <w:rPr>
          <w:b/>
          <w:bCs/>
        </w:rPr>
      </w:pPr>
      <w:r w:rsidRPr="00335A09">
        <w:rPr>
          <w:b/>
          <w:bCs/>
        </w:rPr>
        <w:t xml:space="preserve">Penalties for </w:t>
      </w:r>
      <w:r w:rsidRPr="00335A09" w:rsidR="007F216A">
        <w:rPr>
          <w:b/>
          <w:bCs/>
        </w:rPr>
        <w:t>Statutory or Ethical Violations in Connection with an Involuntary Case</w:t>
      </w:r>
    </w:p>
    <w:p w:rsidR="00B84B53" w:rsidP="00F800B2" w:rsidRDefault="00B84B53" w14:paraId="0B2013D0" w14:textId="07415A62">
      <w:pPr>
        <w:pStyle w:val="ListParagraph"/>
        <w:numPr>
          <w:ilvl w:val="1"/>
          <w:numId w:val="1"/>
        </w:numPr>
      </w:pPr>
      <w:r w:rsidRPr="00B84B53">
        <w:t xml:space="preserve">If the court dismisses an involuntary petition, </w:t>
      </w:r>
      <w:r w:rsidR="00F129F4">
        <w:t xml:space="preserve">without the </w:t>
      </w:r>
      <w:r w:rsidRPr="00B84B53">
        <w:t xml:space="preserve">consent of all petitioners and </w:t>
      </w:r>
      <w:r w:rsidR="00930945">
        <w:t xml:space="preserve">the </w:t>
      </w:r>
      <w:r w:rsidR="00F129F4">
        <w:t xml:space="preserve">alleged </w:t>
      </w:r>
      <w:r w:rsidRPr="00B84B53">
        <w:t xml:space="preserve">debtor, the court may </w:t>
      </w:r>
      <w:r w:rsidR="00F129F4">
        <w:t xml:space="preserve">award </w:t>
      </w:r>
      <w:r w:rsidRPr="00B84B53">
        <w:t>costs or reasonable attorney’s fees</w:t>
      </w:r>
      <w:r w:rsidR="00F129F4">
        <w:t xml:space="preserve"> to the alleged debtor</w:t>
      </w:r>
      <w:r w:rsidRPr="00B84B53">
        <w:t xml:space="preserve">.  Moreover, if the petitioner filed in bad faith, the court may order payment of any damages proximately caused by such filing or punitive damages.  </w:t>
      </w:r>
      <w:r w:rsidRPr="00B84B53">
        <w:rPr>
          <w:i/>
          <w:iCs/>
        </w:rPr>
        <w:t xml:space="preserve">See </w:t>
      </w:r>
      <w:r w:rsidRPr="00B84B53">
        <w:t>11 U.S.C. § 303(i)(1).</w:t>
      </w:r>
    </w:p>
    <w:p w:rsidR="00F800B2" w:rsidP="00F800B2" w:rsidRDefault="00F800B2" w14:paraId="76648CB9" w14:textId="063A717A">
      <w:pPr>
        <w:pStyle w:val="ListParagraph"/>
        <w:numPr>
          <w:ilvl w:val="1"/>
          <w:numId w:val="1"/>
        </w:numPr>
      </w:pPr>
      <w:r w:rsidRPr="00F800B2">
        <w:t>Bankruptcy Rule 9011</w:t>
      </w:r>
      <w:r>
        <w:t xml:space="preserve"> </w:t>
      </w:r>
      <w:r w:rsidRPr="00F800B2">
        <w:t xml:space="preserve">requires the imposition of sanctions against an attorney, the represented party, or both, with respect to signed pleadings which are not “warranted by existing law or a good faith argument for the extension, modification, or reversal of existing law.” </w:t>
      </w:r>
      <w:r>
        <w:t xml:space="preserve"> 11 U.S.C. § </w:t>
      </w:r>
      <w:r w:rsidRPr="00F800B2">
        <w:t>303(i)(2).</w:t>
      </w:r>
    </w:p>
    <w:p w:rsidR="00F800B2" w:rsidP="00F800B2" w:rsidRDefault="00B84B53" w14:paraId="71F3CAB2" w14:textId="0D31A1D4">
      <w:pPr>
        <w:pStyle w:val="ListParagraph"/>
        <w:numPr>
          <w:ilvl w:val="1"/>
          <w:numId w:val="1"/>
        </w:numPr>
      </w:pPr>
      <w:r>
        <w:t xml:space="preserve">Thus, to prevent abuse, the Bankruptcy Code essentially incorporates the Rule 11 standard into </w:t>
      </w:r>
      <w:r w:rsidR="00335A09">
        <w:t>S</w:t>
      </w:r>
      <w:r>
        <w:t>ection 303</w:t>
      </w:r>
      <w:r w:rsidR="00335A09">
        <w:t xml:space="preserve"> of the Bankruptcy</w:t>
      </w:r>
      <w:r>
        <w:t xml:space="preserve">, via subsection (i) and allows for the recovery of damages by an alleged debtor for an improperly filed case.  While such damages and sanctions are relatively rare, </w:t>
      </w:r>
      <w:r w:rsidR="00E41656">
        <w:t xml:space="preserve">the potential for them raises the stakes for petitioning creditors and cautions against filing an involuntary without conducting the sort of investigation discussed above and forming a good faith belief as to the various legal elements required for the involuntary case to move forward.  </w:t>
      </w:r>
      <w:r w:rsidR="00E41656">
        <w:rPr>
          <w:i/>
          <w:iCs/>
        </w:rPr>
        <w:t>See</w:t>
      </w:r>
      <w:r w:rsidR="00E41656">
        <w:t xml:space="preserve"> 11 U.S.C. § 303(h), (i).</w:t>
      </w:r>
    </w:p>
    <w:p w:rsidR="00DF120F" w:rsidP="00F800B2" w:rsidRDefault="00DF120F" w14:paraId="2AECEB66" w14:textId="0FDB03F8">
      <w:pPr>
        <w:pStyle w:val="ListParagraph"/>
        <w:numPr>
          <w:ilvl w:val="1"/>
          <w:numId w:val="1"/>
        </w:numPr>
      </w:pPr>
      <w:r>
        <w:t xml:space="preserve">The above penalties and sanctions under </w:t>
      </w:r>
      <w:r w:rsidR="00335A09">
        <w:t>S</w:t>
      </w:r>
      <w:r>
        <w:t xml:space="preserve">ection 303(i) </w:t>
      </w:r>
      <w:r w:rsidR="00335A09">
        <w:t xml:space="preserve">of the Bankruptcy Code </w:t>
      </w:r>
      <w:r>
        <w:t>do not apply, according to the express terms of that subsection, where an involuntary petition is dismissed “on consent of all petitioners and the debtor.”  11 U.S.C. § 303(</w:t>
      </w:r>
      <w:r w:rsidR="00872072">
        <w:t>i).  Thus, “</w:t>
      </w:r>
      <w:r w:rsidRPr="00872072" w:rsidR="00872072">
        <w:t xml:space="preserve">if the debtor and all other parties to an involuntary petition unequivocally consent to its dismissal, the language of </w:t>
      </w:r>
      <w:r w:rsidR="00335A09">
        <w:t>S</w:t>
      </w:r>
      <w:r w:rsidRPr="00872072" w:rsidR="00872072">
        <w:t>ection 303(i)</w:t>
      </w:r>
      <w:r w:rsidR="00335A09">
        <w:t xml:space="preserve"> of the </w:t>
      </w:r>
      <w:r w:rsidR="00335A09">
        <w:lastRenderedPageBreak/>
        <w:t>Bankruptcy Code</w:t>
      </w:r>
      <w:r w:rsidRPr="00872072" w:rsidR="00872072">
        <w:t xml:space="preserve"> bars a subsequent damage claim regardless of whether the debtor sought to preserve such a claim</w:t>
      </w:r>
      <w:r w:rsidR="00872072">
        <w:t xml:space="preserve">.”  </w:t>
      </w:r>
      <w:r w:rsidR="00872072">
        <w:rPr>
          <w:i/>
          <w:iCs/>
        </w:rPr>
        <w:t>In re City Ctr. Complex, LLC</w:t>
      </w:r>
      <w:r w:rsidR="00872072">
        <w:t>, No. </w:t>
      </w:r>
      <w:r w:rsidRPr="005A0525" w:rsidR="005A0525">
        <w:t>10-20820</w:t>
      </w:r>
      <w:r w:rsidR="00872072">
        <w:t>, 2012 Bankr. LEXIS 6</w:t>
      </w:r>
      <w:r w:rsidR="005A0525">
        <w:t>205, at *11 (Bankr. N.D. Ind. Feb. 28, 2012) (internal quotation marks and citation omitted).</w:t>
      </w:r>
    </w:p>
    <w:p w:rsidRPr="00335A09" w:rsidR="00E41656" w:rsidP="00930945" w:rsidRDefault="005F0CF3" w14:paraId="6D690ECD" w14:textId="4255B561">
      <w:pPr>
        <w:pStyle w:val="ListParagraph"/>
        <w:keepNext/>
        <w:keepLines/>
        <w:numPr>
          <w:ilvl w:val="0"/>
          <w:numId w:val="1"/>
        </w:numPr>
        <w:rPr>
          <w:b/>
          <w:bCs/>
        </w:rPr>
      </w:pPr>
      <w:r w:rsidRPr="00335A09">
        <w:rPr>
          <w:b/>
          <w:bCs/>
        </w:rPr>
        <w:t>Dismissal—</w:t>
      </w:r>
      <w:r w:rsidRPr="00335A09" w:rsidR="0041543A">
        <w:rPr>
          <w:b/>
          <w:bCs/>
        </w:rPr>
        <w:t xml:space="preserve">Alleged Debtor’s </w:t>
      </w:r>
      <w:r w:rsidRPr="00335A09" w:rsidR="00E41656">
        <w:rPr>
          <w:b/>
          <w:bCs/>
        </w:rPr>
        <w:t>Responsive Pleadings in an Involuntary Case</w:t>
      </w:r>
    </w:p>
    <w:p w:rsidR="0041543A" w:rsidP="00930945" w:rsidRDefault="0041543A" w14:paraId="6844E38D" w14:textId="1F069F69">
      <w:pPr>
        <w:pStyle w:val="ListParagraph"/>
        <w:keepNext/>
        <w:keepLines/>
        <w:numPr>
          <w:ilvl w:val="1"/>
          <w:numId w:val="1"/>
        </w:numPr>
      </w:pPr>
      <w:r>
        <w:t>The alleged debtor may answer the petition and/or move to dismiss the involuntary case</w:t>
      </w:r>
      <w:r w:rsidR="008009AD">
        <w:t xml:space="preserve"> (or otherwise contest the petition)</w:t>
      </w:r>
      <w:r>
        <w:t xml:space="preserve">.  </w:t>
      </w:r>
      <w:r>
        <w:rPr>
          <w:i/>
          <w:iCs/>
        </w:rPr>
        <w:t>See</w:t>
      </w:r>
      <w:r>
        <w:t xml:space="preserve"> 11 U.S.C. § 303(d); Fed. R. Bankr. P. 1011(a)–(e).</w:t>
      </w:r>
      <w:r w:rsidR="009D1E89">
        <w:t xml:space="preserve">  Defenses and objections to the petition are governed, in essence, by </w:t>
      </w:r>
      <w:r w:rsidR="00FE6F0B">
        <w:t xml:space="preserve">Federal </w:t>
      </w:r>
      <w:r w:rsidR="009D1E89">
        <w:t>Rule </w:t>
      </w:r>
      <w:r w:rsidR="00FE6F0B">
        <w:t xml:space="preserve">of Civil Procedure </w:t>
      </w:r>
      <w:r w:rsidR="009D1E89">
        <w:t xml:space="preserve">12 and the same rules that would apply to an answer in a regular lawsuit.  </w:t>
      </w:r>
      <w:r w:rsidR="009D1E89">
        <w:rPr>
          <w:i/>
          <w:iCs/>
        </w:rPr>
        <w:t xml:space="preserve">See </w:t>
      </w:r>
      <w:r w:rsidR="009D1E89">
        <w:t xml:space="preserve">Fed. R. Bankr. P. 1011(b).  Moving to dismiss, therefore, extends the time to answer.  </w:t>
      </w:r>
      <w:r w:rsidR="009D1E89">
        <w:rPr>
          <w:i/>
          <w:iCs/>
        </w:rPr>
        <w:t>Id.</w:t>
      </w:r>
      <w:r w:rsidR="009D1E89">
        <w:t xml:space="preserve"> 1011(c).</w:t>
      </w:r>
    </w:p>
    <w:p w:rsidR="00EC460B" w:rsidP="002653AD" w:rsidRDefault="00EC460B" w14:paraId="1E5C674F" w14:textId="5CFBD65D">
      <w:pPr>
        <w:pStyle w:val="ListParagraph"/>
        <w:numPr>
          <w:ilvl w:val="1"/>
          <w:numId w:val="1"/>
        </w:numPr>
      </w:pPr>
      <w:r w:rsidRPr="00EC460B">
        <w:t xml:space="preserve">To succeed on </w:t>
      </w:r>
      <w:r>
        <w:t xml:space="preserve">such a </w:t>
      </w:r>
      <w:r w:rsidRPr="00EC460B">
        <w:t xml:space="preserve">motion to dismiss, </w:t>
      </w:r>
      <w:r w:rsidRPr="00054756" w:rsidR="00054756">
        <w:t>t</w:t>
      </w:r>
      <w:r w:rsidRPr="00EC460B" w:rsidR="00054756">
        <w:t xml:space="preserve">he alleged debtor </w:t>
      </w:r>
      <w:r w:rsidR="00054756">
        <w:t xml:space="preserve">must establish </w:t>
      </w:r>
      <w:r w:rsidRPr="00EC460B" w:rsidR="00054756">
        <w:t xml:space="preserve">that the petitioning creditors have not met the requirements of </w:t>
      </w:r>
      <w:r w:rsidR="00335A09">
        <w:t>S</w:t>
      </w:r>
      <w:r w:rsidRPr="00EC460B" w:rsidR="00054756">
        <w:t>ection 303</w:t>
      </w:r>
      <w:r w:rsidR="00335A09">
        <w:t xml:space="preserve"> of the Bankruptcy Code</w:t>
      </w:r>
      <w:r w:rsidRPr="00EC460B" w:rsidR="00054756">
        <w:t xml:space="preserve">.  </w:t>
      </w:r>
      <w:r w:rsidRPr="00EC460B" w:rsidR="00054756">
        <w:rPr>
          <w:i/>
          <w:iCs/>
        </w:rPr>
        <w:t>See, e.g.</w:t>
      </w:r>
      <w:r w:rsidRPr="00EC460B" w:rsidR="00054756">
        <w:t xml:space="preserve">, </w:t>
      </w:r>
      <w:r w:rsidRPr="00EC460B" w:rsidR="00054756">
        <w:rPr>
          <w:i/>
          <w:iCs/>
        </w:rPr>
        <w:t>In re Holco Capital Grp., Inc.</w:t>
      </w:r>
      <w:r w:rsidRPr="00EC460B" w:rsidR="00054756">
        <w:t>, No. 10-30006, 2011 Bankr. LEXIS 988, at *7–8 (N.D. Ind. Bankr. Mar. 29, 2011)</w:t>
      </w:r>
      <w:r w:rsidRPr="00054756" w:rsidR="00054756">
        <w:t xml:space="preserve">; </w:t>
      </w:r>
      <w:r w:rsidRPr="00054756" w:rsidR="00054756">
        <w:rPr>
          <w:i/>
          <w:iCs/>
        </w:rPr>
        <w:t>In re West Side Cmty. Hosp., Inc.</w:t>
      </w:r>
      <w:r w:rsidRPr="00054756" w:rsidR="00054756">
        <w:t>, 112 B.R. 243, 256 (Bankr. N.D. Ill. 1990)</w:t>
      </w:r>
      <w:r w:rsidR="00054756">
        <w:t xml:space="preserve">.  In addition, or in the alternative, </w:t>
      </w:r>
      <w:r w:rsidRPr="00EC460B">
        <w:t xml:space="preserve">the alleged debtor or another party in interest </w:t>
      </w:r>
      <w:r w:rsidR="00054756">
        <w:t>may show</w:t>
      </w:r>
      <w:r w:rsidR="00DF120F">
        <w:t>, as with the dismissal of any bankruptcy case,</w:t>
      </w:r>
      <w:r w:rsidRPr="00EC460B">
        <w:t xml:space="preserve"> “cause”</w:t>
      </w:r>
      <w:r w:rsidR="00054756">
        <w:t xml:space="preserve"> for dismissal</w:t>
      </w:r>
      <w:r w:rsidRPr="00EC460B">
        <w:t xml:space="preserve"> or that dismissal would be in the “best interest of creditors and the estate.”  </w:t>
      </w:r>
      <w:r w:rsidRPr="00EC460B">
        <w:rPr>
          <w:i/>
          <w:iCs/>
        </w:rPr>
        <w:t>In re 318 Retail, LLC</w:t>
      </w:r>
      <w:r w:rsidRPr="00EC460B">
        <w:t>, No. 22-02485, 2022 Bankr. LEXIS 1569, at *8 (Bankr. N.D. Ill. May 27, 2022) (citing 11 U.S.C. §§ 707(a) and 1112(b)).</w:t>
      </w:r>
    </w:p>
    <w:p w:rsidRPr="00EC460B" w:rsidR="00493ADE" w:rsidP="00FA125F" w:rsidRDefault="00493ADE" w14:paraId="78C7FC07" w14:textId="78C4F3BD">
      <w:pPr>
        <w:pStyle w:val="ListParagraph"/>
        <w:numPr>
          <w:ilvl w:val="2"/>
          <w:numId w:val="1"/>
        </w:numPr>
      </w:pPr>
      <w:r>
        <w:t xml:space="preserve">Dismissal pursuant to </w:t>
      </w:r>
      <w:r w:rsidR="00335A09">
        <w:t>S</w:t>
      </w:r>
      <w:r>
        <w:t>ection 305</w:t>
      </w:r>
      <w:r w:rsidR="00335A09">
        <w:t xml:space="preserve"> of the Bankruptcy Code</w:t>
      </w:r>
      <w:r>
        <w:t xml:space="preserve">, which employs an “interests of the debtor and creditors would be better served by dismissal” standard, may also be used in the context of a motion to dismissal an involuntary case.  </w:t>
      </w:r>
      <w:r>
        <w:rPr>
          <w:i/>
          <w:iCs/>
        </w:rPr>
        <w:t>See, e.g.</w:t>
      </w:r>
      <w:r>
        <w:t xml:space="preserve">, </w:t>
      </w:r>
      <w:r>
        <w:rPr>
          <w:i/>
          <w:iCs/>
        </w:rPr>
        <w:t>In re Monitor Single Lift I, Ltd.</w:t>
      </w:r>
      <w:r>
        <w:t>, 381 B.R. 455, 464 (Bankr. S.D.N.Y. 2008)</w:t>
      </w:r>
      <w:r w:rsidR="00FA125F">
        <w:t xml:space="preserve">; </w:t>
      </w:r>
      <w:r w:rsidRPr="00FA125F" w:rsidR="00FA125F">
        <w:rPr>
          <w:i/>
          <w:iCs/>
        </w:rPr>
        <w:t>In re Int’l Zinc Coatings &amp; Chem. Corp.</w:t>
      </w:r>
      <w:r w:rsidR="00FA125F">
        <w:t>, 355 B.R. 76, 82 (Bankr. N.D. Ill. 2006).</w:t>
      </w:r>
    </w:p>
    <w:p w:rsidR="0041543A" w:rsidP="0041543A" w:rsidRDefault="00EC460B" w14:paraId="3000FD6B" w14:textId="713527CF">
      <w:pPr>
        <w:pStyle w:val="ListParagraph"/>
        <w:numPr>
          <w:ilvl w:val="1"/>
          <w:numId w:val="1"/>
        </w:numPr>
      </w:pPr>
      <w:r>
        <w:t xml:space="preserve">Responsive pleadings </w:t>
      </w:r>
      <w:r w:rsidR="008009AD">
        <w:t>by the alleged debtor</w:t>
      </w:r>
      <w:r>
        <w:t xml:space="preserve">, such as an answer or motion to dismiss </w:t>
      </w:r>
      <w:r w:rsidR="008009AD">
        <w:t xml:space="preserve">generally do not need to be served on all creditors, but rather (usually) need only be served on the petitioning creditors and any creditors who have joined the petition.  </w:t>
      </w:r>
      <w:r w:rsidR="008009AD">
        <w:rPr>
          <w:i/>
          <w:iCs/>
        </w:rPr>
        <w:t>Se</w:t>
      </w:r>
      <w:r w:rsidR="00742D99">
        <w:rPr>
          <w:i/>
          <w:iCs/>
        </w:rPr>
        <w:t>e, e.g.</w:t>
      </w:r>
      <w:r w:rsidR="00742D99">
        <w:t xml:space="preserve">, </w:t>
      </w:r>
      <w:r w:rsidR="00742D99">
        <w:rPr>
          <w:i/>
          <w:iCs/>
        </w:rPr>
        <w:t xml:space="preserve">In re </w:t>
      </w:r>
      <w:r w:rsidRPr="00742D99" w:rsidR="00742D99">
        <w:rPr>
          <w:i/>
          <w:iCs/>
        </w:rPr>
        <w:t>Golden Ocala P</w:t>
      </w:r>
      <w:r w:rsidR="00742D99">
        <w:rPr>
          <w:i/>
          <w:iCs/>
        </w:rPr>
        <w:t>’</w:t>
      </w:r>
      <w:r w:rsidRPr="00742D99" w:rsidR="00742D99">
        <w:rPr>
          <w:i/>
          <w:iCs/>
        </w:rPr>
        <w:t>ship</w:t>
      </w:r>
      <w:r w:rsidRPr="00742D99" w:rsidR="00742D99">
        <w:t>, 50 B.R. 552, 558 (Bankr. M.D. Fla. 1985)</w:t>
      </w:r>
      <w:r w:rsidR="00742D99">
        <w:t>.</w:t>
      </w:r>
    </w:p>
    <w:p w:rsidR="00742D99" w:rsidP="0041543A" w:rsidRDefault="00BE4F6C" w14:paraId="0749A470" w14:textId="6D1C1730">
      <w:pPr>
        <w:pStyle w:val="ListParagraph"/>
        <w:numPr>
          <w:ilvl w:val="1"/>
          <w:numId w:val="1"/>
        </w:numPr>
      </w:pPr>
      <w:r>
        <w:t xml:space="preserve">The burden on a motion to dismiss rests with the alleged debtor, especially on a motion to dismiss for bad faith.  </w:t>
      </w:r>
      <w:r>
        <w:rPr>
          <w:i/>
          <w:iCs/>
        </w:rPr>
        <w:t>See, e.g.</w:t>
      </w:r>
      <w:r>
        <w:t xml:space="preserve">, </w:t>
      </w:r>
      <w:r w:rsidRPr="00FA5678" w:rsidR="00FA5678">
        <w:rPr>
          <w:i/>
          <w:iCs/>
        </w:rPr>
        <w:t>In re Squillante</w:t>
      </w:r>
      <w:r w:rsidRPr="00FA5678" w:rsidR="00FA5678">
        <w:t>, 259 B.R. 548, 554 (Bankr. D. Conn. 2001)</w:t>
      </w:r>
      <w:r w:rsidR="00FA5678">
        <w:t>.</w:t>
      </w:r>
    </w:p>
    <w:p w:rsidR="00AD63BC" w:rsidP="00AD63BC" w:rsidRDefault="008E3141" w14:paraId="18AA51D5" w14:textId="56730FB8">
      <w:pPr>
        <w:pStyle w:val="ListParagraph"/>
        <w:numPr>
          <w:ilvl w:val="1"/>
          <w:numId w:val="1"/>
        </w:numPr>
      </w:pPr>
      <w:r>
        <w:t xml:space="preserve">In responding to an involuntary petition, the alleged debtor cannot </w:t>
      </w:r>
      <w:r w:rsidR="00501129">
        <w:t xml:space="preserve">intentionally </w:t>
      </w:r>
      <w:r>
        <w:t xml:space="preserve">hide the ball from the petitioning creditors.  </w:t>
      </w:r>
      <w:r w:rsidR="00501129">
        <w:t xml:space="preserve">Cases on information withheld by an alleged debtor are rare, but at least one court has declined to award fees and costs under § 303(i) where the alleged debtor had “refuse[d] to supply the [petitioning creditor] with current financial information, including the names of his creditors[.]”  </w:t>
      </w:r>
      <w:r w:rsidR="00501129">
        <w:rPr>
          <w:i/>
          <w:iCs/>
        </w:rPr>
        <w:t>Squillante</w:t>
      </w:r>
      <w:r w:rsidRPr="00AD63BC" w:rsidR="00501129">
        <w:t xml:space="preserve">, 259 B.R. at </w:t>
      </w:r>
      <w:r w:rsidRPr="00AD63BC" w:rsidR="00AD63BC">
        <w:t>554.</w:t>
      </w:r>
    </w:p>
    <w:p w:rsidRPr="00335A09" w:rsidR="00E32F65" w:rsidP="00E32F65" w:rsidRDefault="00E32F65" w14:paraId="5436B110" w14:textId="2FF7789B">
      <w:pPr>
        <w:pStyle w:val="ListParagraph"/>
        <w:numPr>
          <w:ilvl w:val="0"/>
          <w:numId w:val="1"/>
        </w:numPr>
        <w:rPr>
          <w:b/>
          <w:bCs/>
        </w:rPr>
      </w:pPr>
      <w:r w:rsidRPr="00335A09">
        <w:rPr>
          <w:b/>
          <w:bCs/>
        </w:rPr>
        <w:t>Settlement</w:t>
      </w:r>
    </w:p>
    <w:p w:rsidR="00E32F65" w:rsidP="00E32F65" w:rsidRDefault="00E32F65" w14:paraId="43DA9D29" w14:textId="53513B72">
      <w:pPr>
        <w:pStyle w:val="ListParagraph"/>
        <w:numPr>
          <w:ilvl w:val="1"/>
          <w:numId w:val="1"/>
        </w:numPr>
      </w:pPr>
      <w:r>
        <w:t xml:space="preserve">It is possible for an involuntary case to be dismissed upon the agreement of all parties, but the court must approve any such settlement before an order to dismiss may be entered.  </w:t>
      </w:r>
      <w:r>
        <w:rPr>
          <w:i/>
          <w:iCs/>
        </w:rPr>
        <w:t>See</w:t>
      </w:r>
      <w:r w:rsidR="00497C39">
        <w:rPr>
          <w:i/>
          <w:iCs/>
        </w:rPr>
        <w:t xml:space="preserve"> </w:t>
      </w:r>
      <w:r w:rsidR="00497C39">
        <w:t xml:space="preserve">11 U.S.C. § 303(j); </w:t>
      </w:r>
      <w:r w:rsidR="00497C39">
        <w:rPr>
          <w:i/>
          <w:iCs/>
        </w:rPr>
        <w:t>see</w:t>
      </w:r>
      <w:r>
        <w:rPr>
          <w:i/>
          <w:iCs/>
        </w:rPr>
        <w:t>, e.g.</w:t>
      </w:r>
      <w:r>
        <w:t xml:space="preserve">, </w:t>
      </w:r>
      <w:r>
        <w:rPr>
          <w:i/>
          <w:iCs/>
        </w:rPr>
        <w:t>In re Spaulding &amp; Co.</w:t>
      </w:r>
      <w:r>
        <w:t>, 131 B.R. 84, 86 (Bankr. N.D. Ill. 1990).</w:t>
      </w:r>
      <w:r w:rsidR="00DA4613">
        <w:t xml:space="preserve">  Such settlement may be sought via </w:t>
      </w:r>
      <w:r w:rsidR="00FE6F0B">
        <w:t xml:space="preserve">Bankruptcy </w:t>
      </w:r>
      <w:r w:rsidR="00DA4613">
        <w:lastRenderedPageBreak/>
        <w:t xml:space="preserve">Rule 9019 and may provide for the dismissal of the involuntary case, but may not </w:t>
      </w:r>
      <w:r w:rsidR="00B6190B">
        <w:t xml:space="preserve">violate or skirt other provisions or requirements of the Bankruptcy Code, for example, by providing for a structured dismissal.  </w:t>
      </w:r>
      <w:r w:rsidR="00B6190B">
        <w:rPr>
          <w:i/>
          <w:iCs/>
        </w:rPr>
        <w:t>See In re Positron Corp.</w:t>
      </w:r>
      <w:r w:rsidR="00B6190B">
        <w:t>, 556 B.R. 291, 292–96 (Bankr. N.D. Tex. 2016).</w:t>
      </w:r>
    </w:p>
    <w:p w:rsidR="00E32F65" w:rsidP="00E32F65" w:rsidRDefault="00497C39" w14:paraId="083F76A5" w14:textId="35989C30">
      <w:pPr>
        <w:pStyle w:val="ListParagraph"/>
        <w:numPr>
          <w:ilvl w:val="1"/>
          <w:numId w:val="1"/>
        </w:numPr>
      </w:pPr>
      <w:r>
        <w:t>Once</w:t>
      </w:r>
      <w:r w:rsidR="00E32F65">
        <w:t xml:space="preserve"> an involuntary petition is filed, the petitioning creditors may not withdraw the petition on their own, and the parties cannot on their own agree to </w:t>
      </w:r>
      <w:r w:rsidR="00876BB5">
        <w:t xml:space="preserve">dismiss, absent approval of such an agreement or settlement by the court upon a finding that the same is in the best interests of the estate and all parties in interest.  </w:t>
      </w:r>
      <w:r w:rsidR="00876BB5">
        <w:rPr>
          <w:i/>
          <w:iCs/>
        </w:rPr>
        <w:t>See, e.g.</w:t>
      </w:r>
      <w:r w:rsidR="00876BB5">
        <w:t xml:space="preserve">, </w:t>
      </w:r>
      <w:r w:rsidR="00876BB5">
        <w:rPr>
          <w:i/>
          <w:iCs/>
        </w:rPr>
        <w:t>In re Warren</w:t>
      </w:r>
      <w:r w:rsidR="00876BB5">
        <w:t>, 18 B.R. 136, 137–39 (Bankr. N.D. Ala. 1995).</w:t>
      </w:r>
    </w:p>
    <w:p w:rsidR="00335A09" w:rsidP="00E32F65" w:rsidRDefault="00335A09" w14:paraId="3AACA30C" w14:textId="4086B3ED">
      <w:pPr>
        <w:pStyle w:val="ListParagraph"/>
        <w:numPr>
          <w:ilvl w:val="1"/>
          <w:numId w:val="1"/>
        </w:numPr>
      </w:pPr>
      <w:r>
        <w:t xml:space="preserve">It is unclear what notice and disclosure is required for purposes of dismissing an involuntary petition upon agreement and/or settlement among the creditors and alleged debtor.  Does notice need to be given to all creditors?  Do the creditors and alleged debtor need to disclose the terms of any settlement, including any monetary terms of such settlement. </w:t>
      </w:r>
      <w:r w:rsidR="00FE6F0B">
        <w:rPr>
          <w:i/>
          <w:iCs/>
        </w:rPr>
        <w:t>See</w:t>
      </w:r>
      <w:r w:rsidR="00FE6F0B">
        <w:t xml:space="preserve"> 11 U.S.C. § 303(j).</w:t>
      </w:r>
    </w:p>
    <w:p w:rsidR="00F129F4" w:rsidP="00E77F79" w:rsidRDefault="00F129F4" w14:paraId="0B643F23" w14:textId="03D2A92A"/>
    <w:p w:rsidRPr="00335A09" w:rsidR="00E77F79" w:rsidP="00FA5678" w:rsidRDefault="00335A09" w14:paraId="7D1E2E26" w14:textId="1C604DE2">
      <w:pPr>
        <w:keepNext/>
        <w:rPr>
          <w:b/>
          <w:bCs/>
        </w:rPr>
      </w:pPr>
      <w:r>
        <w:rPr>
          <w:b/>
          <w:bCs/>
          <w:u w:val="single"/>
        </w:rPr>
        <w:t xml:space="preserve">Additional </w:t>
      </w:r>
      <w:r w:rsidRPr="00335A09" w:rsidR="00E77F79">
        <w:rPr>
          <w:b/>
          <w:bCs/>
          <w:u w:val="single"/>
        </w:rPr>
        <w:t>Cases</w:t>
      </w:r>
      <w:r>
        <w:rPr>
          <w:b/>
          <w:bCs/>
          <w:u w:val="single"/>
        </w:rPr>
        <w:t xml:space="preserve"> Addressing Issues in an Involuntary</w:t>
      </w:r>
      <w:r w:rsidRPr="00335A09" w:rsidR="00E77F79">
        <w:rPr>
          <w:b/>
          <w:bCs/>
        </w:rPr>
        <w:t>:</w:t>
      </w:r>
    </w:p>
    <w:p w:rsidRPr="00B92513" w:rsidR="00523350" w:rsidP="00D85090" w:rsidRDefault="00B92513" w14:paraId="36D55C89" w14:textId="0612B2DE">
      <w:pPr>
        <w:pStyle w:val="ListParagraph"/>
        <w:keepNext/>
        <w:numPr>
          <w:ilvl w:val="0"/>
          <w:numId w:val="2"/>
        </w:numPr>
        <w:rPr>
          <w:i/>
          <w:iCs/>
        </w:rPr>
      </w:pPr>
      <w:r>
        <w:rPr>
          <w:i/>
          <w:iCs/>
        </w:rPr>
        <w:t>Tate v. Navient Sols., LLC (In re Navient Sols., LLC)</w:t>
      </w:r>
      <w:r>
        <w:t>, No. ,</w:t>
      </w:r>
      <w:r w:rsidR="00D1219E">
        <w:t>21-cv-2897,</w:t>
      </w:r>
      <w:r>
        <w:t xml:space="preserve"> 2022 U.S. Dist. LEXIS 52583 (S.D.N.Y. Mar. 23, 2022)</w:t>
      </w:r>
    </w:p>
    <w:p w:rsidR="00523350" w:rsidP="00AD7CE3" w:rsidRDefault="00523350" w14:paraId="1F07E345" w14:textId="58745185">
      <w:pPr>
        <w:pStyle w:val="ListParagraph"/>
        <w:numPr>
          <w:ilvl w:val="1"/>
          <w:numId w:val="2"/>
        </w:numPr>
      </w:pPr>
      <w:r>
        <w:t xml:space="preserve">Dismissal below was proper based on failure to meet requirements of </w:t>
      </w:r>
      <w:r w:rsidR="00335A09">
        <w:t>S</w:t>
      </w:r>
      <w:r>
        <w:t xml:space="preserve">ection 303(b) </w:t>
      </w:r>
      <w:r w:rsidR="00335A09">
        <w:t xml:space="preserve">of the Bankruptcy Code </w:t>
      </w:r>
      <w:r>
        <w:t>as well as bad faith.</w:t>
      </w:r>
    </w:p>
    <w:p w:rsidR="00523350" w:rsidP="00AD7CE3" w:rsidRDefault="00523350" w14:paraId="2B421FA2" w14:textId="69FA142C">
      <w:pPr>
        <w:pStyle w:val="ListParagraph"/>
        <w:numPr>
          <w:ilvl w:val="2"/>
          <w:numId w:val="2"/>
        </w:numPr>
      </w:pPr>
      <w:r>
        <w:t>Petitioners failed to even allege that the alleged debtor was generally not paying its debts as they came due, but rather stated only the legal conclusion that the alleged debtor “is insolvent”</w:t>
      </w:r>
      <w:r w:rsidR="00EC62CE">
        <w:t xml:space="preserve"> and supported such allegation with the alleged debtor’s balance sheet.</w:t>
      </w:r>
    </w:p>
    <w:p w:rsidR="00EC62CE" w:rsidP="00AD7CE3" w:rsidRDefault="00EC62CE" w14:paraId="39E4D61E" w14:textId="04C05B92">
      <w:pPr>
        <w:pStyle w:val="ListParagraph"/>
        <w:numPr>
          <w:ilvl w:val="2"/>
          <w:numId w:val="2"/>
        </w:numPr>
      </w:pPr>
      <w:r>
        <w:t xml:space="preserve">Extensive litigation regarding and the existence of colorable defenses to the claims of the petitioners also rendered such claims disputed for the purposes of </w:t>
      </w:r>
      <w:r w:rsidR="00335A09">
        <w:t>S</w:t>
      </w:r>
      <w:r>
        <w:t>ection 303(b) and (h)</w:t>
      </w:r>
      <w:r w:rsidR="00335A09">
        <w:t xml:space="preserve"> of the Bankruptcy Code</w:t>
      </w:r>
      <w:r>
        <w:t>.</w:t>
      </w:r>
    </w:p>
    <w:p w:rsidR="00EC62CE" w:rsidP="00AD7CE3" w:rsidRDefault="00964774" w14:paraId="0E06359E" w14:textId="3CFBD71F">
      <w:pPr>
        <w:pStyle w:val="ListParagraph"/>
        <w:numPr>
          <w:ilvl w:val="2"/>
          <w:numId w:val="2"/>
        </w:numPr>
      </w:pPr>
      <w:r>
        <w:t xml:space="preserve">Dismissal for bad faith under </w:t>
      </w:r>
      <w:r w:rsidR="00335A09">
        <w:t>S</w:t>
      </w:r>
      <w:r>
        <w:t>ection 1112(b)(1)</w:t>
      </w:r>
      <w:r w:rsidR="00335A09">
        <w:t xml:space="preserve"> of the Bankruptcy Code</w:t>
      </w:r>
      <w:r>
        <w:t xml:space="preserve"> was also proper under the improper use, improper purpose, objective test, </w:t>
      </w:r>
      <w:r>
        <w:rPr>
          <w:i/>
          <w:iCs/>
        </w:rPr>
        <w:t xml:space="preserve">and </w:t>
      </w:r>
      <w:r>
        <w:t>subjective test.</w:t>
      </w:r>
    </w:p>
    <w:p w:rsidR="00964774" w:rsidP="00AD7CE3" w:rsidRDefault="00964774" w14:paraId="1D34478A" w14:textId="2F19B337">
      <w:pPr>
        <w:pStyle w:val="ListParagraph"/>
        <w:numPr>
          <w:ilvl w:val="1"/>
          <w:numId w:val="2"/>
        </w:numPr>
      </w:pPr>
      <w:r>
        <w:t>In light of</w:t>
      </w:r>
      <w:r w:rsidR="00B92513">
        <w:t xml:space="preserve"> the extremely lacking petition, the award of attorneys’ fees </w:t>
      </w:r>
      <w:r w:rsidR="00930945">
        <w:t>by the bankruptcy court</w:t>
      </w:r>
      <w:r w:rsidR="00B92513">
        <w:t xml:space="preserve"> (as limited to those fees of the alleged debtor the bankruptcy court found to be reasonable) was proper.</w:t>
      </w:r>
    </w:p>
    <w:p w:rsidR="00B92513" w:rsidP="00B92513" w:rsidRDefault="00B92513" w14:paraId="65653313" w14:textId="1A2CD75F">
      <w:pPr>
        <w:pStyle w:val="ListParagraph"/>
        <w:keepNext/>
        <w:numPr>
          <w:ilvl w:val="0"/>
          <w:numId w:val="2"/>
        </w:numPr>
      </w:pPr>
      <w:r>
        <w:rPr>
          <w:i/>
          <w:iCs/>
        </w:rPr>
        <w:t>In re 35th &amp; Morgan Dev. Corp.</w:t>
      </w:r>
      <w:r>
        <w:t>, 510 B.R. 832 (Bankr. N.D. Ill. 2014)</w:t>
      </w:r>
    </w:p>
    <w:p w:rsidR="00136EDA" w:rsidP="00D1219E" w:rsidRDefault="00AF70EE" w14:paraId="73AB5DE3" w14:textId="183D49C5">
      <w:pPr>
        <w:pStyle w:val="ListParagraph"/>
        <w:numPr>
          <w:ilvl w:val="1"/>
          <w:numId w:val="2"/>
        </w:numPr>
      </w:pPr>
      <w:r>
        <w:t>The alleged debtor was a</w:t>
      </w:r>
      <w:r w:rsidR="00930945">
        <w:t xml:space="preserve"> single asset real estate debtor</w:t>
      </w:r>
      <w:r>
        <w:t xml:space="preserve"> owned and controlled by its </w:t>
      </w:r>
      <w:r w:rsidR="00136EDA">
        <w:t>parent company</w:t>
      </w:r>
      <w:r>
        <w:t xml:space="preserve"> and the property held by the alleged debtor was in disrepair and generated </w:t>
      </w:r>
      <w:r w:rsidR="00930945">
        <w:t>no</w:t>
      </w:r>
      <w:r>
        <w:t xml:space="preserve"> income.</w:t>
      </w:r>
      <w:r w:rsidR="00136EDA">
        <w:t xml:space="preserve">  Obligations were allegedly outstanding as of the petition date to certain banks that had loaned funds for the development of the property and a law firm that had provided services to the alleged debtor (which joined the petition after it was filed).</w:t>
      </w:r>
    </w:p>
    <w:p w:rsidR="00136EDA" w:rsidP="00D1219E" w:rsidRDefault="00136EDA" w14:paraId="7E1B2F04" w14:textId="6F854B8D">
      <w:pPr>
        <w:pStyle w:val="ListParagraph"/>
        <w:numPr>
          <w:ilvl w:val="2"/>
          <w:numId w:val="2"/>
        </w:numPr>
      </w:pPr>
      <w:r>
        <w:t xml:space="preserve">Certain insiders and others were also claimed to be creditors, but </w:t>
      </w:r>
      <w:r w:rsidR="00F870EC">
        <w:t>either their status as insiders or the fact that they could not be demonstrated to actually be owed any amounts by the alleged debtor disqualified them.</w:t>
      </w:r>
    </w:p>
    <w:p w:rsidR="00F870EC" w:rsidP="00D1219E" w:rsidRDefault="00F870EC" w14:paraId="67B05EA0" w14:textId="599ADAB0">
      <w:pPr>
        <w:pStyle w:val="ListParagraph"/>
        <w:numPr>
          <w:ilvl w:val="2"/>
          <w:numId w:val="2"/>
        </w:numPr>
      </w:pPr>
      <w:r>
        <w:t>Moreover, many of the supposed creditors, including, for example, various vendors and purported employees, were actually creditors of the parent company, not the alleged debtor itself, and therefore did not qualify.</w:t>
      </w:r>
    </w:p>
    <w:p w:rsidR="00F870EC" w:rsidP="00D1219E" w:rsidRDefault="009E7404" w14:paraId="24C4864E" w14:textId="09B62F54">
      <w:pPr>
        <w:pStyle w:val="ListParagraph"/>
        <w:numPr>
          <w:ilvl w:val="1"/>
          <w:numId w:val="2"/>
        </w:numPr>
      </w:pPr>
      <w:r>
        <w:lastRenderedPageBreak/>
        <w:t xml:space="preserve">Nevertheless, the involuntary case was </w:t>
      </w:r>
      <w:r>
        <w:rPr>
          <w:i/>
          <w:iCs/>
        </w:rPr>
        <w:t xml:space="preserve">not </w:t>
      </w:r>
      <w:r>
        <w:t>dismissed for the following reasons.</w:t>
      </w:r>
    </w:p>
    <w:p w:rsidR="009E7404" w:rsidP="00D1219E" w:rsidRDefault="009E7404" w14:paraId="2D424C5C" w14:textId="6684CCB9">
      <w:pPr>
        <w:pStyle w:val="ListParagraph"/>
        <w:numPr>
          <w:ilvl w:val="2"/>
          <w:numId w:val="2"/>
        </w:numPr>
      </w:pPr>
      <w:r>
        <w:t xml:space="preserve">The two banks held claims not subject to bona fide disputes as </w:t>
      </w:r>
      <w:r w:rsidR="00BD39E4">
        <w:t>the amounts were owed by the alleged debtor based on the plain language and terms of the notes involved.</w:t>
      </w:r>
    </w:p>
    <w:p w:rsidR="00BD39E4" w:rsidP="00D1219E" w:rsidRDefault="00BD39E4" w14:paraId="0FAEB245" w14:textId="226D59ED">
      <w:pPr>
        <w:pStyle w:val="ListParagraph"/>
        <w:numPr>
          <w:ilvl w:val="2"/>
          <w:numId w:val="2"/>
        </w:numPr>
      </w:pPr>
      <w:r>
        <w:t>There was no assignment of such claims as the only ‘transfer’ as it were thereof was via a merger, not an assignment.</w:t>
      </w:r>
    </w:p>
    <w:p w:rsidR="00BD39E4" w:rsidP="00D1219E" w:rsidRDefault="00BD39E4" w14:paraId="581F8BAC" w14:textId="103A684E">
      <w:pPr>
        <w:pStyle w:val="ListParagraph"/>
        <w:numPr>
          <w:ilvl w:val="2"/>
          <w:numId w:val="2"/>
        </w:numPr>
      </w:pPr>
      <w:r>
        <w:t xml:space="preserve">The law firm also held a valid claim not subject to bona fide dispute as the </w:t>
      </w:r>
      <w:r w:rsidR="00A57283">
        <w:t xml:space="preserve">alleged debtor failed to offer sufficient prove of its </w:t>
      </w:r>
      <w:r>
        <w:t xml:space="preserve">alleged counterclaim </w:t>
      </w:r>
      <w:r w:rsidR="00A57283">
        <w:t>for malpractice.  Further, the joinder of the law firm was proper.</w:t>
      </w:r>
    </w:p>
    <w:p w:rsidR="00A57283" w:rsidP="00D1219E" w:rsidRDefault="00A57283" w14:paraId="2BC0225F" w14:textId="242AADC7">
      <w:pPr>
        <w:pStyle w:val="ListParagraph"/>
        <w:numPr>
          <w:ilvl w:val="1"/>
          <w:numId w:val="2"/>
        </w:numPr>
      </w:pPr>
      <w:r>
        <w:t>The alleged debtor</w:t>
      </w:r>
      <w:r w:rsidR="00D1219E">
        <w:t>’s</w:t>
      </w:r>
      <w:r>
        <w:t xml:space="preserve"> attempts to argue it had more than 12 creditors failed for, as stated above, too many of the </w:t>
      </w:r>
      <w:r w:rsidR="00D1219E">
        <w:t xml:space="preserve">creditors on the </w:t>
      </w:r>
      <w:r>
        <w:t>alleged debtor’s</w:t>
      </w:r>
      <w:r w:rsidR="00D1219E">
        <w:t xml:space="preserve"> list were insiders, not owed any amounts at all, or </w:t>
      </w:r>
      <w:r w:rsidR="00930945">
        <w:t xml:space="preserve">the creditors were </w:t>
      </w:r>
      <w:r w:rsidR="00D1219E">
        <w:t>actually creditors of the parent company.</w:t>
      </w:r>
    </w:p>
    <w:p w:rsidR="00E77F79" w:rsidP="00D85090" w:rsidRDefault="00F8357D" w14:paraId="011DB207" w14:textId="324BBFBF">
      <w:pPr>
        <w:pStyle w:val="ListParagraph"/>
        <w:keepNext/>
        <w:numPr>
          <w:ilvl w:val="0"/>
          <w:numId w:val="2"/>
        </w:numPr>
      </w:pPr>
      <w:r>
        <w:rPr>
          <w:i/>
          <w:iCs/>
        </w:rPr>
        <w:t>Liberty Tool v. Vortex Fishing Sys. (</w:t>
      </w:r>
      <w:r w:rsidRPr="00BA1976" w:rsidR="00BA1976">
        <w:rPr>
          <w:i/>
          <w:iCs/>
        </w:rPr>
        <w:t>In re Vortex Fishing Sy</w:t>
      </w:r>
      <w:r>
        <w:rPr>
          <w:i/>
          <w:iCs/>
        </w:rPr>
        <w:t>s.</w:t>
      </w:r>
      <w:r w:rsidRPr="00BA1976" w:rsidR="00BA1976">
        <w:rPr>
          <w:i/>
          <w:iCs/>
        </w:rPr>
        <w:t>, Inc</w:t>
      </w:r>
      <w:r w:rsidRPr="00BA1976" w:rsidR="00BA1976">
        <w:t>.</w:t>
      </w:r>
      <w:r>
        <w:t>)</w:t>
      </w:r>
      <w:r w:rsidRPr="00BA1976" w:rsidR="00BA1976">
        <w:t>, 277 F.3d 1057 (9th Cir. 2001)</w:t>
      </w:r>
    </w:p>
    <w:p w:rsidR="00BA1976" w:rsidP="00BA1976" w:rsidRDefault="00BA1976" w14:paraId="044762E6" w14:textId="303A939A">
      <w:pPr>
        <w:pStyle w:val="ListParagraph"/>
        <w:numPr>
          <w:ilvl w:val="1"/>
          <w:numId w:val="2"/>
        </w:numPr>
      </w:pPr>
      <w:r>
        <w:t>Petitioner</w:t>
      </w:r>
      <w:r w:rsidR="00801E56">
        <w:t xml:space="preserve">s </w:t>
      </w:r>
      <w:r>
        <w:t xml:space="preserve">commenced involuntary case </w:t>
      </w:r>
      <w:r w:rsidR="00801E56">
        <w:t>based on disputed claims</w:t>
      </w:r>
      <w:r w:rsidR="00D15604">
        <w:t xml:space="preserve"> and were only able to show balance sheet (not equitable) insolvency.</w:t>
      </w:r>
    </w:p>
    <w:p w:rsidR="00BA1976" w:rsidP="001265C3" w:rsidRDefault="00F93136" w14:paraId="0A915817" w14:textId="4EE65669">
      <w:pPr>
        <w:pStyle w:val="ListParagraph"/>
        <w:numPr>
          <w:ilvl w:val="1"/>
          <w:numId w:val="2"/>
        </w:numPr>
      </w:pPr>
      <w:r>
        <w:t xml:space="preserve">Addresses, among other points: </w:t>
      </w:r>
      <w:r w:rsidR="00BA1976">
        <w:t>(i) </w:t>
      </w:r>
      <w:r>
        <w:t>w</w:t>
      </w:r>
      <w:r w:rsidR="0087578D">
        <w:t xml:space="preserve">hether claims are subject to a </w:t>
      </w:r>
      <w:r w:rsidRPr="00566C4F" w:rsidR="0087578D">
        <w:rPr>
          <w:i/>
          <w:iCs/>
        </w:rPr>
        <w:t>bona fide</w:t>
      </w:r>
      <w:r w:rsidR="0087578D">
        <w:t xml:space="preserve"> dispute</w:t>
      </w:r>
      <w:r>
        <w:t xml:space="preserve">; </w:t>
      </w:r>
      <w:r w:rsidR="0087578D">
        <w:t>(ii) </w:t>
      </w:r>
      <w:r w:rsidR="00566C4F">
        <w:t>i</w:t>
      </w:r>
      <w:r w:rsidR="00FB157A">
        <w:t>nsolvency of the alleged debtor</w:t>
      </w:r>
      <w:r w:rsidR="00566C4F">
        <w:t xml:space="preserve">; and </w:t>
      </w:r>
      <w:r w:rsidR="0087578D">
        <w:t>(iii) </w:t>
      </w:r>
      <w:r w:rsidR="00566C4F">
        <w:t>w</w:t>
      </w:r>
      <w:r w:rsidR="0087578D">
        <w:t>hether notice required to be given to all creditors</w:t>
      </w:r>
      <w:r w:rsidR="00537D27">
        <w:t>.</w:t>
      </w:r>
    </w:p>
    <w:p w:rsidR="00D85090" w:rsidP="001265C3" w:rsidRDefault="00D85090" w14:paraId="758DD255" w14:textId="4D9EEA65">
      <w:pPr>
        <w:pStyle w:val="ListParagraph"/>
        <w:numPr>
          <w:ilvl w:val="1"/>
          <w:numId w:val="2"/>
        </w:numPr>
      </w:pPr>
      <w:r w:rsidRPr="00D85090">
        <w:rPr>
          <w:i/>
          <w:iCs/>
        </w:rPr>
        <w:t>See also, e.g.</w:t>
      </w:r>
      <w:r w:rsidRPr="00D85090">
        <w:t xml:space="preserve">, </w:t>
      </w:r>
      <w:r w:rsidRPr="00D85090">
        <w:rPr>
          <w:i/>
          <w:iCs/>
        </w:rPr>
        <w:t>In re Reid</w:t>
      </w:r>
      <w:r w:rsidRPr="00D85090">
        <w:t>, 773 F.2d 945 (7th Cir. 1985) (similar).</w:t>
      </w:r>
    </w:p>
    <w:p w:rsidR="00D85090" w:rsidP="00D85090" w:rsidRDefault="00D85090" w14:paraId="04D536C7" w14:textId="77777777">
      <w:pPr>
        <w:pStyle w:val="ListParagraph"/>
        <w:keepNext/>
        <w:numPr>
          <w:ilvl w:val="0"/>
          <w:numId w:val="2"/>
        </w:numPr>
      </w:pPr>
      <w:r>
        <w:rPr>
          <w:i/>
          <w:iCs/>
        </w:rPr>
        <w:t>In re Smith</w:t>
      </w:r>
      <w:r>
        <w:t>, 243 B.R. 169 (Bankr. N.D. Ga. 1999)</w:t>
      </w:r>
    </w:p>
    <w:p w:rsidR="00D85090" w:rsidP="00D85090" w:rsidRDefault="00D85090" w14:paraId="02A32246" w14:textId="2EBF1783">
      <w:pPr>
        <w:pStyle w:val="ListParagraph"/>
        <w:numPr>
          <w:ilvl w:val="1"/>
          <w:numId w:val="2"/>
        </w:numPr>
      </w:pPr>
      <w:r>
        <w:t xml:space="preserve">Petitioner commenced involuntary based on sufficient, non-disputed claim and proved up insolvency, but failed to show the numericity requirements of </w:t>
      </w:r>
      <w:r w:rsidR="00335A09">
        <w:t>S</w:t>
      </w:r>
      <w:r>
        <w:t>ection 303</w:t>
      </w:r>
      <w:r w:rsidR="00335A09">
        <w:t xml:space="preserve"> of the Bankruptcy Code</w:t>
      </w:r>
      <w:r>
        <w:t xml:space="preserve"> were met and had, in any case, filed in bad faith.</w:t>
      </w:r>
    </w:p>
    <w:p w:rsidR="00D85090" w:rsidP="00D85090" w:rsidRDefault="00D85090" w14:paraId="476690D3" w14:textId="77777777">
      <w:pPr>
        <w:pStyle w:val="ListParagraph"/>
        <w:numPr>
          <w:ilvl w:val="1"/>
          <w:numId w:val="2"/>
        </w:numPr>
      </w:pPr>
      <w:r>
        <w:t xml:space="preserve">Addresses, among other issues: (i) standard for numerical requirements for creditors; (ii) standard for insolvency; (iii) standard for </w:t>
      </w:r>
      <w:r>
        <w:rPr>
          <w:i/>
          <w:iCs/>
        </w:rPr>
        <w:t>bona fide</w:t>
      </w:r>
      <w:r>
        <w:t xml:space="preserve"> disputes as to claims; (iv) proper and improper bases for alleged debtor to assert that a claim is subject to a </w:t>
      </w:r>
      <w:r>
        <w:rPr>
          <w:i/>
          <w:iCs/>
        </w:rPr>
        <w:t>bona fide</w:t>
      </w:r>
      <w:r>
        <w:t xml:space="preserve"> dispute; (v) contingent claims; (vi) parallel state-court actions; and (vii) bad faith filings.</w:t>
      </w:r>
    </w:p>
    <w:p w:rsidR="00537D27" w:rsidP="00D85090" w:rsidRDefault="00AE31B8" w14:paraId="0BEDA77C" w14:textId="3F2B5035">
      <w:pPr>
        <w:pStyle w:val="ListParagraph"/>
        <w:keepNext/>
        <w:numPr>
          <w:ilvl w:val="0"/>
          <w:numId w:val="2"/>
        </w:numPr>
      </w:pPr>
      <w:r>
        <w:rPr>
          <w:i/>
          <w:iCs/>
        </w:rPr>
        <w:t>In re Kearney</w:t>
      </w:r>
      <w:r>
        <w:t>, 121 B.R. 642 (Bankr. M.D. Fla. 1990)</w:t>
      </w:r>
    </w:p>
    <w:p w:rsidR="00AE31B8" w:rsidP="00AE31B8" w:rsidRDefault="00AE31B8" w14:paraId="7BB0C79C" w14:textId="1AC3A92B">
      <w:pPr>
        <w:pStyle w:val="ListParagraph"/>
        <w:numPr>
          <w:ilvl w:val="1"/>
          <w:numId w:val="2"/>
        </w:numPr>
      </w:pPr>
      <w:r>
        <w:t xml:space="preserve">Petitioner commenced involuntary upon </w:t>
      </w:r>
      <w:r w:rsidR="00F93136">
        <w:t>meager, if any, pre-suit diligence</w:t>
      </w:r>
      <w:r w:rsidR="00566C4F">
        <w:t>.</w:t>
      </w:r>
    </w:p>
    <w:p w:rsidR="00566C4F" w:rsidP="00AE31B8" w:rsidRDefault="00566C4F" w14:paraId="5F3D8A65" w14:textId="6C579096">
      <w:pPr>
        <w:pStyle w:val="ListParagraph"/>
        <w:numPr>
          <w:ilvl w:val="1"/>
          <w:numId w:val="2"/>
        </w:numPr>
      </w:pPr>
      <w:r>
        <w:t xml:space="preserve">Address, among other points: (i) the scope and extent of damages (compensatory and punitive) awardable under </w:t>
      </w:r>
      <w:r w:rsidR="00335A09">
        <w:t>S</w:t>
      </w:r>
      <w:r>
        <w:t>ection 303(i)</w:t>
      </w:r>
      <w:r w:rsidR="00335A09">
        <w:t xml:space="preserve"> of the Bankruptcy Code</w:t>
      </w:r>
      <w:r>
        <w:t xml:space="preserve">; (ii) the distinction between </w:t>
      </w:r>
      <w:r w:rsidR="00891EF6">
        <w:t xml:space="preserve">such damages and sanction pursuant to </w:t>
      </w:r>
      <w:r w:rsidR="00FE6F0B">
        <w:t xml:space="preserve">Bankruptcy </w:t>
      </w:r>
      <w:r w:rsidR="00891EF6">
        <w:t>Rule 9011; (iii) requirements for pre-suit diligence and investigation with respect to issues such as the number of creditors; and (iv) </w:t>
      </w:r>
      <w:r w:rsidR="00425ABB">
        <w:t>bad faith filings.</w:t>
      </w:r>
    </w:p>
    <w:p w:rsidRPr="00E77F79" w:rsidR="00F129F4" w:rsidP="00AD7CE3" w:rsidRDefault="00073EAF" w14:paraId="6BE9F766" w14:textId="438E1D91">
      <w:pPr>
        <w:pStyle w:val="ListParagraph"/>
        <w:numPr>
          <w:ilvl w:val="1"/>
          <w:numId w:val="2"/>
        </w:numPr>
      </w:pPr>
      <w:r>
        <w:rPr>
          <w:i/>
          <w:iCs/>
        </w:rPr>
        <w:t>See also, e.g.</w:t>
      </w:r>
      <w:r>
        <w:t xml:space="preserve">, </w:t>
      </w:r>
      <w:r>
        <w:rPr>
          <w:i/>
          <w:iCs/>
        </w:rPr>
        <w:t>Nat’l Med. Imaging, LLC v. U.S. Bank, N.A. (In re Nat’l Med. Imaging, LLC)</w:t>
      </w:r>
      <w:r>
        <w:t>, 570 B.R. 147 (Bankr. E.D. Pa. 2017) (similar)</w:t>
      </w:r>
      <w:r w:rsidR="00B67266">
        <w:t>.</w:t>
      </w:r>
    </w:p>
    <w:sectPr w:rsidRPr="00E77F79" w:rsidR="00F129F4" w:rsidSect="00BA197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92421" w:rsidP="00D841DC" w:rsidRDefault="00492421" w14:paraId="6E645EF3" w14:textId="77777777">
      <w:r>
        <w:separator/>
      </w:r>
    </w:p>
  </w:endnote>
  <w:endnote w:type="continuationSeparator" w:id="0">
    <w:p w:rsidR="00492421" w:rsidP="00D841DC" w:rsidRDefault="00492421" w14:paraId="3587A3F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41DC" w:rsidRDefault="00D841DC" w14:paraId="048F57C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8691031"/>
      <w:docPartObj>
        <w:docPartGallery w:val="Page Numbers (Bottom of Page)"/>
        <w:docPartUnique/>
      </w:docPartObj>
    </w:sdtPr>
    <w:sdtEndPr>
      <w:rPr>
        <w:noProof/>
      </w:rPr>
    </w:sdtEndPr>
    <w:sdtContent>
      <w:p w:rsidR="00D841DC" w:rsidP="00BA1976" w:rsidRDefault="00BA1976" w14:paraId="7BAD55F7" w14:textId="0E7E8B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41DC" w:rsidRDefault="00D841DC" w14:paraId="3D7D970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92421" w:rsidP="00D841DC" w:rsidRDefault="00492421" w14:paraId="448E4A81" w14:textId="77777777">
      <w:r>
        <w:separator/>
      </w:r>
    </w:p>
  </w:footnote>
  <w:footnote w:type="continuationSeparator" w:id="0">
    <w:p w:rsidR="00492421" w:rsidP="00D841DC" w:rsidRDefault="00492421" w14:paraId="54C9E6C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41DC" w:rsidRDefault="00D841DC" w14:paraId="29E3DD1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C724DA" w:rsidR="00D841DC" w:rsidP="00C724DA" w:rsidRDefault="00D841DC" w14:paraId="638EDDCF" w14:textId="378084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C724DA" w:rsidR="00D841DC" w:rsidP="00C724DA" w:rsidRDefault="00D841DC" w14:paraId="6878219E" w14:textId="5742C4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4211F9"/>
    <w:multiLevelType w:val="hybridMultilevel"/>
    <w:tmpl w:val="6EC02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5A76F9"/>
    <w:multiLevelType w:val="hybridMultilevel"/>
    <w:tmpl w:val="B26C6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26A462">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90"/>
    <w:rsid w:val="00003E60"/>
    <w:rsid w:val="00054756"/>
    <w:rsid w:val="000577C8"/>
    <w:rsid w:val="00073EAF"/>
    <w:rsid w:val="00074172"/>
    <w:rsid w:val="001265C3"/>
    <w:rsid w:val="00132BD1"/>
    <w:rsid w:val="00136EDA"/>
    <w:rsid w:val="001634E5"/>
    <w:rsid w:val="0017680A"/>
    <w:rsid w:val="00177C5F"/>
    <w:rsid w:val="001A0E76"/>
    <w:rsid w:val="00210E21"/>
    <w:rsid w:val="00234469"/>
    <w:rsid w:val="00253149"/>
    <w:rsid w:val="00256F12"/>
    <w:rsid w:val="002653AD"/>
    <w:rsid w:val="002957C6"/>
    <w:rsid w:val="002C21FD"/>
    <w:rsid w:val="00335A09"/>
    <w:rsid w:val="003364B2"/>
    <w:rsid w:val="00373701"/>
    <w:rsid w:val="003D025F"/>
    <w:rsid w:val="004031D4"/>
    <w:rsid w:val="00404FC0"/>
    <w:rsid w:val="00407FE3"/>
    <w:rsid w:val="0041543A"/>
    <w:rsid w:val="00425ABB"/>
    <w:rsid w:val="004350CA"/>
    <w:rsid w:val="004357D2"/>
    <w:rsid w:val="00492421"/>
    <w:rsid w:val="00493ADE"/>
    <w:rsid w:val="0049603B"/>
    <w:rsid w:val="00497C39"/>
    <w:rsid w:val="004D2898"/>
    <w:rsid w:val="004E71BD"/>
    <w:rsid w:val="00501129"/>
    <w:rsid w:val="00523350"/>
    <w:rsid w:val="0053676F"/>
    <w:rsid w:val="00537D27"/>
    <w:rsid w:val="00560415"/>
    <w:rsid w:val="00566C4F"/>
    <w:rsid w:val="005A0525"/>
    <w:rsid w:val="005B06C1"/>
    <w:rsid w:val="005D2564"/>
    <w:rsid w:val="005F0CF3"/>
    <w:rsid w:val="005F2E87"/>
    <w:rsid w:val="00624961"/>
    <w:rsid w:val="00647282"/>
    <w:rsid w:val="0067076F"/>
    <w:rsid w:val="00676C5F"/>
    <w:rsid w:val="00694298"/>
    <w:rsid w:val="006A5053"/>
    <w:rsid w:val="006C6070"/>
    <w:rsid w:val="006D2395"/>
    <w:rsid w:val="00716F82"/>
    <w:rsid w:val="00742D99"/>
    <w:rsid w:val="00753EA8"/>
    <w:rsid w:val="007559F4"/>
    <w:rsid w:val="007729BE"/>
    <w:rsid w:val="007B69ED"/>
    <w:rsid w:val="007F216A"/>
    <w:rsid w:val="007F4AE9"/>
    <w:rsid w:val="008009AD"/>
    <w:rsid w:val="00801E56"/>
    <w:rsid w:val="00831793"/>
    <w:rsid w:val="00845A83"/>
    <w:rsid w:val="008520D5"/>
    <w:rsid w:val="00864B8E"/>
    <w:rsid w:val="00872072"/>
    <w:rsid w:val="0087578D"/>
    <w:rsid w:val="00876BB5"/>
    <w:rsid w:val="00891EF6"/>
    <w:rsid w:val="008D0258"/>
    <w:rsid w:val="008E3141"/>
    <w:rsid w:val="008E732E"/>
    <w:rsid w:val="00912344"/>
    <w:rsid w:val="00930945"/>
    <w:rsid w:val="00943177"/>
    <w:rsid w:val="00956919"/>
    <w:rsid w:val="00964774"/>
    <w:rsid w:val="00970D82"/>
    <w:rsid w:val="009A3C38"/>
    <w:rsid w:val="009B33AB"/>
    <w:rsid w:val="009D1E89"/>
    <w:rsid w:val="009D73CD"/>
    <w:rsid w:val="009E7404"/>
    <w:rsid w:val="009F6FB6"/>
    <w:rsid w:val="00A21801"/>
    <w:rsid w:val="00A57283"/>
    <w:rsid w:val="00AB4CE1"/>
    <w:rsid w:val="00AB54DC"/>
    <w:rsid w:val="00AD63BC"/>
    <w:rsid w:val="00AD7786"/>
    <w:rsid w:val="00AD7CE3"/>
    <w:rsid w:val="00AE31B8"/>
    <w:rsid w:val="00AF67AF"/>
    <w:rsid w:val="00AF70EE"/>
    <w:rsid w:val="00B6190B"/>
    <w:rsid w:val="00B67266"/>
    <w:rsid w:val="00B84B53"/>
    <w:rsid w:val="00B90733"/>
    <w:rsid w:val="00B92513"/>
    <w:rsid w:val="00B92D1F"/>
    <w:rsid w:val="00BA1976"/>
    <w:rsid w:val="00BA70DA"/>
    <w:rsid w:val="00BC3FF6"/>
    <w:rsid w:val="00BD39E4"/>
    <w:rsid w:val="00BE4F6C"/>
    <w:rsid w:val="00C35C80"/>
    <w:rsid w:val="00C4505B"/>
    <w:rsid w:val="00C6763E"/>
    <w:rsid w:val="00C724DA"/>
    <w:rsid w:val="00C80190"/>
    <w:rsid w:val="00C80BF9"/>
    <w:rsid w:val="00C97269"/>
    <w:rsid w:val="00CA77BC"/>
    <w:rsid w:val="00CB5AE3"/>
    <w:rsid w:val="00D106D3"/>
    <w:rsid w:val="00D1219E"/>
    <w:rsid w:val="00D15604"/>
    <w:rsid w:val="00D56F59"/>
    <w:rsid w:val="00D841DC"/>
    <w:rsid w:val="00D85090"/>
    <w:rsid w:val="00DA4613"/>
    <w:rsid w:val="00DD5386"/>
    <w:rsid w:val="00DF120F"/>
    <w:rsid w:val="00E2577C"/>
    <w:rsid w:val="00E32F65"/>
    <w:rsid w:val="00E41656"/>
    <w:rsid w:val="00E469AE"/>
    <w:rsid w:val="00E77F79"/>
    <w:rsid w:val="00E87EB2"/>
    <w:rsid w:val="00EA573A"/>
    <w:rsid w:val="00EC460B"/>
    <w:rsid w:val="00EC62CE"/>
    <w:rsid w:val="00EF56D1"/>
    <w:rsid w:val="00F129F4"/>
    <w:rsid w:val="00F31DE7"/>
    <w:rsid w:val="00F33696"/>
    <w:rsid w:val="00F376C6"/>
    <w:rsid w:val="00F42274"/>
    <w:rsid w:val="00F800B2"/>
    <w:rsid w:val="00F8357D"/>
    <w:rsid w:val="00F870EC"/>
    <w:rsid w:val="00F93136"/>
    <w:rsid w:val="00FA125F"/>
    <w:rsid w:val="00FA5678"/>
    <w:rsid w:val="00FB157A"/>
    <w:rsid w:val="00FE4EF6"/>
    <w:rsid w:val="00FE6F0B"/>
    <w:rsid w:val="00FF5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6F8CD"/>
  <w15:chartTrackingRefBased/>
  <w15:docId w15:val="{9C4F08F5-B787-404A-873E-C6154E0E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41DC"/>
    <w:pPr>
      <w:spacing w:after="0" w:line="240" w:lineRule="auto"/>
      <w:jc w:val="both"/>
    </w:pPr>
    <w:rPr>
      <w:rFonts w:ascii="Times New Roman" w:hAnsi="Times New Roman"/>
      <w:sz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841DC"/>
    <w:pPr>
      <w:tabs>
        <w:tab w:val="center" w:pos="4680"/>
        <w:tab w:val="right" w:pos="9360"/>
      </w:tabs>
    </w:pPr>
  </w:style>
  <w:style w:type="character" w:styleId="HeaderChar" w:customStyle="1">
    <w:name w:val="Header Char"/>
    <w:basedOn w:val="DefaultParagraphFont"/>
    <w:link w:val="Header"/>
    <w:uiPriority w:val="99"/>
    <w:rsid w:val="00D841DC"/>
    <w:rPr>
      <w:rFonts w:ascii="Times New Roman" w:hAnsi="Times New Roman"/>
      <w:sz w:val="24"/>
    </w:rPr>
  </w:style>
  <w:style w:type="paragraph" w:styleId="Footer">
    <w:name w:val="footer"/>
    <w:basedOn w:val="Normal"/>
    <w:link w:val="FooterChar"/>
    <w:uiPriority w:val="99"/>
    <w:unhideWhenUsed/>
    <w:rsid w:val="00D841DC"/>
    <w:pPr>
      <w:tabs>
        <w:tab w:val="center" w:pos="4680"/>
        <w:tab w:val="right" w:pos="9360"/>
      </w:tabs>
    </w:pPr>
  </w:style>
  <w:style w:type="character" w:styleId="FooterChar" w:customStyle="1">
    <w:name w:val="Footer Char"/>
    <w:basedOn w:val="DefaultParagraphFont"/>
    <w:link w:val="Footer"/>
    <w:uiPriority w:val="99"/>
    <w:rsid w:val="00D841DC"/>
    <w:rPr>
      <w:rFonts w:ascii="Times New Roman" w:hAnsi="Times New Roman"/>
      <w:sz w:val="24"/>
    </w:rPr>
  </w:style>
  <w:style w:type="paragraph" w:styleId="ListParagraph">
    <w:name w:val="List Paragraph"/>
    <w:basedOn w:val="Normal"/>
    <w:uiPriority w:val="34"/>
    <w:qFormat/>
    <w:rsid w:val="00177C5F"/>
    <w:pPr>
      <w:ind w:left="720"/>
      <w:contextualSpacing/>
    </w:pPr>
  </w:style>
  <w:style w:type="paragraph" w:styleId="FootnoteText">
    <w:name w:val="footnote text"/>
    <w:basedOn w:val="Normal"/>
    <w:link w:val="FootnoteTextChar"/>
    <w:uiPriority w:val="99"/>
    <w:semiHidden/>
    <w:unhideWhenUsed/>
    <w:rsid w:val="00E77F79"/>
    <w:rPr>
      <w:sz w:val="20"/>
      <w:szCs w:val="20"/>
    </w:rPr>
  </w:style>
  <w:style w:type="character" w:styleId="FootnoteTextChar" w:customStyle="1">
    <w:name w:val="Footnote Text Char"/>
    <w:basedOn w:val="DefaultParagraphFont"/>
    <w:link w:val="FootnoteText"/>
    <w:uiPriority w:val="99"/>
    <w:semiHidden/>
    <w:rsid w:val="00E77F79"/>
    <w:rPr>
      <w:rFonts w:ascii="Times New Roman" w:hAnsi="Times New Roman"/>
      <w:sz w:val="20"/>
      <w:szCs w:val="20"/>
    </w:rPr>
  </w:style>
  <w:style w:type="character" w:styleId="FootnoteReference">
    <w:name w:val="footnote reference"/>
    <w:basedOn w:val="DefaultParagraphFont"/>
    <w:uiPriority w:val="99"/>
    <w:semiHidden/>
    <w:unhideWhenUsed/>
    <w:rsid w:val="00E77F79"/>
    <w:rPr>
      <w:vertAlign w:val="superscript"/>
    </w:rPr>
  </w:style>
  <w:style w:type="character" w:styleId="Hyperlink">
    <w:name w:val="Hyperlink"/>
    <w:basedOn w:val="DefaultParagraphFont"/>
    <w:uiPriority w:val="99"/>
    <w:unhideWhenUsed/>
    <w:rsid w:val="00BC3FF6"/>
    <w:rPr>
      <w:color w:val="0563C1" w:themeColor="hyperlink"/>
      <w:u w:val="single"/>
    </w:rPr>
  </w:style>
  <w:style w:type="character" w:styleId="UnresolvedMention">
    <w:name w:val="Unresolved Mention"/>
    <w:basedOn w:val="DefaultParagraphFont"/>
    <w:uiPriority w:val="99"/>
    <w:semiHidden/>
    <w:unhideWhenUsed/>
    <w:rsid w:val="00BC3FF6"/>
    <w:rPr>
      <w:color w:val="605E5C"/>
      <w:shd w:val="clear" w:color="auto" w:fill="E1DFDD"/>
    </w:rPr>
  </w:style>
  <w:style w:type="character" w:styleId="Strong">
    <w:name w:val="Strong"/>
    <w:basedOn w:val="DefaultParagraphFont"/>
    <w:uiPriority w:val="22"/>
    <w:qFormat/>
    <w:rsid w:val="007559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2022-08-09T22:23:21.0000000Z</lastPrinted>
  <dcterms:created xsi:type="dcterms:W3CDTF">2022-08-09T22:23:21.0000000Z</dcterms:created>
  <dcterms:modified xsi:type="dcterms:W3CDTF">2022-08-09T22:23:21.0000000Z</dcterms:modified>
</coreProperties>
</file>