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824AC" w14:textId="793B8ECB" w:rsidR="00A77BBD" w:rsidRPr="00F646F5" w:rsidRDefault="00F646F5" w:rsidP="00F646F5">
      <w:pPr>
        <w:spacing w:after="0"/>
        <w:jc w:val="center"/>
        <w:rPr>
          <w:b/>
          <w:bCs/>
        </w:rPr>
      </w:pPr>
      <w:r>
        <w:rPr>
          <w:b/>
          <w:bCs/>
        </w:rPr>
        <w:t>UNITED STATES COURT OF APPEALS</w:t>
      </w:r>
    </w:p>
    <w:p w14:paraId="0333EB1D" w14:textId="4263F53D" w:rsidR="00F646F5" w:rsidRDefault="00F646F5" w:rsidP="00F646F5">
      <w:pPr>
        <w:pStyle w:val="Heading1"/>
        <w:spacing w:after="0"/>
      </w:pPr>
      <w:r>
        <w:t>FOR THE SECOND CIRCUIT</w:t>
      </w:r>
      <w:r w:rsidR="00FC3B71">
        <w:t xml:space="preserve"> OF TEMPLE UNIVERSITY</w:t>
      </w:r>
    </w:p>
    <w:p w14:paraId="3D54135C" w14:textId="5D7773DB" w:rsidR="00F646F5" w:rsidRDefault="00F646F5" w:rsidP="00A96467">
      <w:pPr>
        <w:pStyle w:val="BodyText"/>
        <w:spacing w:before="360" w:after="360"/>
        <w:jc w:val="center"/>
      </w:pPr>
      <w:r>
        <w:t>April Term, 2022</w:t>
      </w:r>
    </w:p>
    <w:p w14:paraId="3B40A0FD" w14:textId="2D4D534E" w:rsidR="00F646F5" w:rsidRDefault="00F646F5" w:rsidP="00A96467">
      <w:pPr>
        <w:pStyle w:val="BodyText"/>
        <w:spacing w:before="360" w:after="360"/>
        <w:jc w:val="center"/>
      </w:pPr>
      <w:r>
        <w:t>(Argued: April 29, 2022</w:t>
      </w:r>
      <w:r>
        <w:tab/>
      </w:r>
      <w:r>
        <w:tab/>
      </w:r>
      <w:r>
        <w:tab/>
        <w:t>Decided:</w:t>
      </w:r>
      <w:r w:rsidR="00F30478">
        <w:t xml:space="preserve"> October 31</w:t>
      </w:r>
      <w:r>
        <w:t>, 2022)</w:t>
      </w:r>
    </w:p>
    <w:p w14:paraId="55184188" w14:textId="2DA5154B" w:rsidR="00A96467" w:rsidRDefault="00A96467" w:rsidP="00A96467">
      <w:pPr>
        <w:pStyle w:val="BodyText"/>
        <w:spacing w:before="360" w:after="360"/>
        <w:jc w:val="center"/>
      </w:pPr>
      <w:r>
        <w:t>Docket No. 22-100</w:t>
      </w:r>
    </w:p>
    <w:p w14:paraId="312EB3D1" w14:textId="42EF4C47" w:rsidR="00A96467" w:rsidRPr="00A96467" w:rsidRDefault="00A96467" w:rsidP="00A96467">
      <w:pPr>
        <w:pStyle w:val="BodyText"/>
        <w:spacing w:before="360" w:after="360"/>
        <w:jc w:val="center"/>
        <w:rPr>
          <w:b/>
          <w:bCs/>
        </w:rPr>
      </w:pPr>
      <w:r w:rsidRPr="00A96467">
        <w:rPr>
          <w:b/>
          <w:bCs/>
        </w:rPr>
        <w:t>__________________________________________</w:t>
      </w:r>
    </w:p>
    <w:p w14:paraId="714E1549" w14:textId="33429F57" w:rsidR="00A96467" w:rsidRDefault="00A94A24" w:rsidP="00A96467">
      <w:pPr>
        <w:pStyle w:val="BodyText"/>
        <w:spacing w:before="360" w:after="360"/>
        <w:jc w:val="center"/>
      </w:pPr>
      <w:r>
        <w:t>DEBTORS OXY SALES, L.P. AND CERTAIN AFFILIATED DEBTORS</w:t>
      </w:r>
      <w:r w:rsidR="00A96467" w:rsidRPr="00A96467">
        <w:rPr>
          <w:rStyle w:val="FootnoteReference"/>
          <w:vertAlign w:val="superscript"/>
        </w:rPr>
        <w:footnoteReference w:id="1"/>
      </w:r>
    </w:p>
    <w:p w14:paraId="7D6F4867" w14:textId="57BC9772" w:rsidR="00A94A24" w:rsidRDefault="00B9653E" w:rsidP="00A96467">
      <w:pPr>
        <w:pStyle w:val="BodyText"/>
        <w:spacing w:before="360" w:after="360"/>
        <w:jc w:val="center"/>
      </w:pPr>
      <w:r>
        <w:t>and</w:t>
      </w:r>
    </w:p>
    <w:p w14:paraId="485FAB29" w14:textId="4004FFBA" w:rsidR="00A94A24" w:rsidRDefault="00A94A24" w:rsidP="00A96467">
      <w:pPr>
        <w:pStyle w:val="BodyText"/>
        <w:spacing w:before="360" w:after="360"/>
        <w:jc w:val="center"/>
      </w:pPr>
      <w:r>
        <w:t xml:space="preserve">THE OFFICIAL COMMITTEE OF UNSECURED CREDITORS OF OXY SALES, L.P. </w:t>
      </w:r>
      <w:r>
        <w:rPr>
          <w:i/>
          <w:iCs/>
        </w:rPr>
        <w:t>et al.</w:t>
      </w:r>
      <w:r>
        <w:t>, AD HOC COMMITTEE OF GOVERNMENTAL AND OTHER CONTINGENT LITIGATION CLAIMANTS, THE PACKLER FAMILY, AD HOC GROUP OF INDIVIDUAL VICTIMS OF OXY SALES, L.P., MULTI-STATE GOVVERNMENTAL ENTITIES GROUP, INITIAL COVERED PACKLER PERSONS,</w:t>
      </w:r>
    </w:p>
    <w:p w14:paraId="380EAB04" w14:textId="77777777" w:rsidR="00B9653E" w:rsidRDefault="00B9653E" w:rsidP="00B9653E">
      <w:pPr>
        <w:pStyle w:val="BodyText"/>
        <w:spacing w:before="360" w:after="360"/>
        <w:jc w:val="center"/>
        <w:rPr>
          <w:i/>
          <w:iCs/>
        </w:rPr>
      </w:pPr>
      <w:r>
        <w:rPr>
          <w:i/>
          <w:iCs/>
        </w:rPr>
        <w:t>Appellants</w:t>
      </w:r>
    </w:p>
    <w:p w14:paraId="1AD35272" w14:textId="77777777" w:rsidR="00B9653E" w:rsidRDefault="00B9653E" w:rsidP="00A96467">
      <w:pPr>
        <w:pStyle w:val="BodyText"/>
        <w:spacing w:before="360" w:after="360"/>
        <w:jc w:val="center"/>
      </w:pPr>
    </w:p>
    <w:p w14:paraId="72C3D961" w14:textId="2ECAF163" w:rsidR="00A94A24" w:rsidRDefault="00A94A24" w:rsidP="00A96467">
      <w:pPr>
        <w:pStyle w:val="BodyText"/>
        <w:spacing w:before="360" w:after="360"/>
        <w:jc w:val="center"/>
      </w:pPr>
      <w:r>
        <w:t xml:space="preserve">v. </w:t>
      </w:r>
    </w:p>
    <w:p w14:paraId="3A9B22F4" w14:textId="4470FB28" w:rsidR="00A94A24" w:rsidRDefault="00A94A24" w:rsidP="00A96467">
      <w:pPr>
        <w:pStyle w:val="BodyText"/>
        <w:spacing w:before="360" w:after="360"/>
        <w:jc w:val="center"/>
      </w:pPr>
      <w:r>
        <w:t>THE CITY OF SMALL DESERT,  as Representative Plaintiff for a Class Consisting of All Canadian Municipalities, CERTAIN CANADIAN CITIES AND FIRST NATIONS</w:t>
      </w:r>
    </w:p>
    <w:p w14:paraId="08739E6F" w14:textId="414663D7" w:rsidR="00A94A24" w:rsidRDefault="00B9653E" w:rsidP="00A96467">
      <w:pPr>
        <w:pStyle w:val="BodyText"/>
        <w:spacing w:before="360" w:after="360"/>
        <w:jc w:val="center"/>
      </w:pPr>
      <w:r>
        <w:t>and</w:t>
      </w:r>
      <w:r w:rsidR="00A94A24">
        <w:t xml:space="preserve"> </w:t>
      </w:r>
    </w:p>
    <w:p w14:paraId="1ABC951C" w14:textId="714AD824" w:rsidR="00A94A24" w:rsidRDefault="00A94A24" w:rsidP="00A96467">
      <w:pPr>
        <w:pStyle w:val="BodyText"/>
        <w:spacing w:before="360" w:after="360"/>
        <w:jc w:val="center"/>
      </w:pPr>
      <w:r>
        <w:t xml:space="preserve">CERTAIN </w:t>
      </w:r>
      <w:r w:rsidR="00B9653E">
        <w:t xml:space="preserve">OF THE UNITED </w:t>
      </w:r>
      <w:r>
        <w:t>STATES, by their Attorneys General</w:t>
      </w:r>
    </w:p>
    <w:p w14:paraId="5F52CA66" w14:textId="18C25C3A" w:rsidR="00E974BF" w:rsidRDefault="00E974BF" w:rsidP="00A96467">
      <w:pPr>
        <w:pStyle w:val="BodyText"/>
        <w:spacing w:before="360" w:after="360"/>
        <w:jc w:val="center"/>
      </w:pPr>
      <w:r>
        <w:t>and</w:t>
      </w:r>
    </w:p>
    <w:p w14:paraId="7358E1B4" w14:textId="08ADCC14" w:rsidR="00E974BF" w:rsidRDefault="00E974BF" w:rsidP="00A96467">
      <w:pPr>
        <w:pStyle w:val="BodyText"/>
        <w:spacing w:before="360" w:after="360"/>
        <w:jc w:val="center"/>
      </w:pPr>
      <w:r>
        <w:t>THE OFFICE OF THE UNITED STATES TRUSTEE FOR REGION 2</w:t>
      </w:r>
    </w:p>
    <w:p w14:paraId="07F135B2" w14:textId="0C31C020" w:rsidR="00F30478" w:rsidRPr="00F30478" w:rsidRDefault="00F30478" w:rsidP="00A96467">
      <w:pPr>
        <w:pStyle w:val="BodyText"/>
        <w:spacing w:before="360" w:after="360"/>
        <w:jc w:val="center"/>
        <w:rPr>
          <w:i/>
          <w:iCs/>
        </w:rPr>
      </w:pPr>
      <w:r>
        <w:rPr>
          <w:i/>
          <w:iCs/>
        </w:rPr>
        <w:t>Appellees.</w:t>
      </w:r>
    </w:p>
    <w:p w14:paraId="569C82C3" w14:textId="0CB9DCB0" w:rsidR="00EE44CF" w:rsidRDefault="00EE44CF" w:rsidP="00EE44CF">
      <w:pPr>
        <w:pStyle w:val="BodyText"/>
        <w:spacing w:before="360" w:after="360"/>
      </w:pPr>
      <w:r>
        <w:t>_________________________________________</w:t>
      </w:r>
    </w:p>
    <w:p w14:paraId="515400E9" w14:textId="2C406254" w:rsidR="00EE44CF" w:rsidRPr="00EE44CF" w:rsidRDefault="00EE44CF" w:rsidP="00EE44CF">
      <w:pPr>
        <w:pStyle w:val="BodyText"/>
        <w:spacing w:before="360" w:after="360"/>
      </w:pPr>
      <w:r>
        <w:t xml:space="preserve">Before: LOVE, PACK, and SARK, </w:t>
      </w:r>
      <w:r>
        <w:rPr>
          <w:i/>
          <w:iCs/>
        </w:rPr>
        <w:t>Circuit Judges</w:t>
      </w:r>
      <w:r>
        <w:t xml:space="preserve">. </w:t>
      </w:r>
    </w:p>
    <w:p w14:paraId="02A35CCF" w14:textId="2A93F2BF" w:rsidR="00A77BBD" w:rsidRDefault="00A77BBD" w:rsidP="00A77BBD">
      <w:pPr>
        <w:pStyle w:val="BodyTextFirstIndent"/>
        <w:rPr>
          <w:color w:val="000000"/>
        </w:rPr>
      </w:pPr>
      <w:r>
        <w:rPr>
          <w:color w:val="000000"/>
        </w:rPr>
        <w:t xml:space="preserve">This is an appeal from an order of the United States </w:t>
      </w:r>
      <w:r w:rsidR="00A1404C">
        <w:rPr>
          <w:color w:val="000000"/>
        </w:rPr>
        <w:t>District</w:t>
      </w:r>
      <w:r>
        <w:rPr>
          <w:color w:val="000000"/>
        </w:rPr>
        <w:t xml:space="preserve"> Court for the Southern District of </w:t>
      </w:r>
      <w:r w:rsidR="006239B5">
        <w:rPr>
          <w:color w:val="000000"/>
        </w:rPr>
        <w:t>Temple</w:t>
      </w:r>
      <w:r>
        <w:rPr>
          <w:color w:val="000000"/>
        </w:rPr>
        <w:t xml:space="preserve"> (“</w:t>
      </w:r>
      <w:r w:rsidR="00A1404C">
        <w:rPr>
          <w:color w:val="000000"/>
        </w:rPr>
        <w:t>District</w:t>
      </w:r>
      <w:r>
        <w:rPr>
          <w:color w:val="000000"/>
        </w:rPr>
        <w:t xml:space="preserve"> Court”) (</w:t>
      </w:r>
      <w:r w:rsidR="006239B5">
        <w:rPr>
          <w:color w:val="000000"/>
        </w:rPr>
        <w:t>Wai</w:t>
      </w:r>
      <w:r w:rsidR="00A1404C">
        <w:rPr>
          <w:color w:val="000000"/>
        </w:rPr>
        <w:t>tford</w:t>
      </w:r>
      <w:r w:rsidR="008B54D4">
        <w:rPr>
          <w:color w:val="000000"/>
        </w:rPr>
        <w:t>,</w:t>
      </w:r>
      <w:r>
        <w:rPr>
          <w:color w:val="000000"/>
        </w:rPr>
        <w:t xml:space="preserve"> </w:t>
      </w:r>
      <w:r w:rsidR="00A1404C">
        <w:rPr>
          <w:color w:val="000000"/>
        </w:rPr>
        <w:t>D</w:t>
      </w:r>
      <w:r>
        <w:rPr>
          <w:color w:val="000000"/>
        </w:rPr>
        <w:t>.J.)</w:t>
      </w:r>
      <w:r w:rsidR="008B54D4">
        <w:rPr>
          <w:color w:val="000000"/>
        </w:rPr>
        <w:t>,</w:t>
      </w:r>
      <w:r>
        <w:rPr>
          <w:color w:val="000000"/>
        </w:rPr>
        <w:t xml:space="preserve"> </w:t>
      </w:r>
      <w:r w:rsidR="00683835">
        <w:rPr>
          <w:color w:val="000000"/>
        </w:rPr>
        <w:t xml:space="preserve">issued on </w:t>
      </w:r>
      <w:r w:rsidR="00F30478">
        <w:rPr>
          <w:color w:val="000000"/>
        </w:rPr>
        <w:t>May 17</w:t>
      </w:r>
      <w:r w:rsidR="00683835">
        <w:rPr>
          <w:color w:val="000000"/>
        </w:rPr>
        <w:t>, 202</w:t>
      </w:r>
      <w:r w:rsidR="00F30478">
        <w:rPr>
          <w:color w:val="000000"/>
        </w:rPr>
        <w:t>2</w:t>
      </w:r>
      <w:r w:rsidR="00683835">
        <w:rPr>
          <w:color w:val="000000"/>
        </w:rPr>
        <w:t xml:space="preserve">, which </w:t>
      </w:r>
      <w:r w:rsidR="00683835" w:rsidRPr="00B9653E">
        <w:rPr>
          <w:color w:val="000000"/>
        </w:rPr>
        <w:t>in turn</w:t>
      </w:r>
      <w:r w:rsidR="00683835">
        <w:rPr>
          <w:color w:val="000000"/>
        </w:rPr>
        <w:t xml:space="preserve"> reversed the decision of the United States Bankruptcy Court for the Southern District of Temple (“Bankruptcy Court”), </w:t>
      </w:r>
      <w:r>
        <w:rPr>
          <w:color w:val="000000"/>
        </w:rPr>
        <w:t>announced from the bench on September 1</w:t>
      </w:r>
      <w:r w:rsidR="008B54D4">
        <w:rPr>
          <w:color w:val="000000"/>
        </w:rPr>
        <w:t>,</w:t>
      </w:r>
      <w:r>
        <w:rPr>
          <w:color w:val="000000"/>
        </w:rPr>
        <w:t xml:space="preserve"> 2021</w:t>
      </w:r>
      <w:r w:rsidR="008B54D4">
        <w:rPr>
          <w:color w:val="000000"/>
        </w:rPr>
        <w:t>,</w:t>
      </w:r>
      <w:r>
        <w:rPr>
          <w:color w:val="000000"/>
        </w:rPr>
        <w:t xml:space="preserve"> and filed on September 17</w:t>
      </w:r>
      <w:r w:rsidR="008B54D4">
        <w:rPr>
          <w:color w:val="000000"/>
        </w:rPr>
        <w:t>,</w:t>
      </w:r>
      <w:r>
        <w:rPr>
          <w:color w:val="000000"/>
        </w:rPr>
        <w:t xml:space="preserve"> 2021</w:t>
      </w:r>
      <w:r w:rsidR="008B54D4">
        <w:rPr>
          <w:color w:val="000000"/>
        </w:rPr>
        <w:t>,</w:t>
      </w:r>
      <w:r>
        <w:rPr>
          <w:color w:val="000000"/>
        </w:rPr>
        <w:t xml:space="preserve"> confirming the Plan of Reorganization</w:t>
      </w:r>
      <w:r w:rsidR="00F30478">
        <w:rPr>
          <w:color w:val="000000"/>
        </w:rPr>
        <w:t xml:space="preserve"> (as amended and modified, the “Plan”)</w:t>
      </w:r>
      <w:r>
        <w:rPr>
          <w:color w:val="000000"/>
        </w:rPr>
        <w:t xml:space="preserve"> proposed by Debtors </w:t>
      </w:r>
      <w:r w:rsidR="006239B5">
        <w:rPr>
          <w:color w:val="000000"/>
        </w:rPr>
        <w:t>Oxy</w:t>
      </w:r>
      <w:r w:rsidR="00683835">
        <w:rPr>
          <w:color w:val="000000"/>
        </w:rPr>
        <w:t xml:space="preserve"> Sales,</w:t>
      </w:r>
      <w:r>
        <w:rPr>
          <w:color w:val="000000"/>
        </w:rPr>
        <w:t xml:space="preserve"> L.P</w:t>
      </w:r>
      <w:r w:rsidR="006A227C">
        <w:rPr>
          <w:color w:val="000000"/>
        </w:rPr>
        <w:t xml:space="preserve">. </w:t>
      </w:r>
      <w:r>
        <w:rPr>
          <w:color w:val="000000"/>
        </w:rPr>
        <w:t xml:space="preserve">and </w:t>
      </w:r>
      <w:r w:rsidR="00683835">
        <w:rPr>
          <w:color w:val="000000"/>
        </w:rPr>
        <w:t>the other Debtors, as well as certain merged and related orders of the Bankruptcy Court</w:t>
      </w:r>
      <w:r w:rsidRPr="000D79A1">
        <w:rPr>
          <w:rStyle w:val="FootnoteReference"/>
          <w:vertAlign w:val="superscript"/>
        </w:rPr>
        <w:t xml:space="preserve"> </w:t>
      </w:r>
      <w:r>
        <w:rPr>
          <w:color w:val="000000"/>
        </w:rPr>
        <w:t>(the “Confirmation Order”)</w:t>
      </w:r>
      <w:r w:rsidR="006A227C">
        <w:rPr>
          <w:color w:val="000000"/>
        </w:rPr>
        <w:t xml:space="preserve">.  </w:t>
      </w:r>
    </w:p>
    <w:p w14:paraId="1CE62BBD" w14:textId="77777777" w:rsidR="00B9653E" w:rsidRDefault="00683835" w:rsidP="00683835">
      <w:pPr>
        <w:pStyle w:val="BodyTextFirstIndent"/>
        <w:ind w:firstLine="0"/>
        <w:rPr>
          <w:color w:val="000000"/>
        </w:rPr>
      </w:pPr>
      <w:r>
        <w:rPr>
          <w:color w:val="000000"/>
        </w:rPr>
        <w:t xml:space="preserve">LOVE, </w:t>
      </w:r>
      <w:r w:rsidR="00531209" w:rsidRPr="00B9653E">
        <w:rPr>
          <w:i/>
          <w:iCs/>
          <w:color w:val="000000"/>
        </w:rPr>
        <w:t>Circuit Judge</w:t>
      </w:r>
      <w:r w:rsidR="00531209">
        <w:rPr>
          <w:color w:val="000000"/>
        </w:rPr>
        <w:t>,</w:t>
      </w:r>
    </w:p>
    <w:p w14:paraId="643870B4" w14:textId="2EBCB6F4" w:rsidR="00683835" w:rsidRDefault="00B9653E" w:rsidP="00683835">
      <w:pPr>
        <w:pStyle w:val="BodyTextFirstIndent"/>
        <w:ind w:firstLine="0"/>
        <w:rPr>
          <w:color w:val="000000"/>
        </w:rPr>
      </w:pPr>
      <w:r>
        <w:rPr>
          <w:color w:val="000000"/>
        </w:rPr>
        <w:tab/>
        <w:t>This case raises questions regarding the power and authority of the Bankruptcy Court under applicable law to release certain direct third party claims against non-debtors</w:t>
      </w:r>
      <w:r w:rsidR="00531209">
        <w:rPr>
          <w:color w:val="000000"/>
        </w:rPr>
        <w:t xml:space="preserve"> </w:t>
      </w:r>
      <w:r>
        <w:rPr>
          <w:color w:val="000000"/>
        </w:rPr>
        <w:t xml:space="preserve">in a reorganization plan confirmed under chapter 11 of Title 11 of the United States Code, 11 U.S.C. §101, </w:t>
      </w:r>
      <w:r>
        <w:rPr>
          <w:i/>
          <w:iCs/>
          <w:color w:val="000000"/>
        </w:rPr>
        <w:t xml:space="preserve">et seq. </w:t>
      </w:r>
      <w:r>
        <w:rPr>
          <w:color w:val="000000"/>
        </w:rPr>
        <w:t xml:space="preserve">(the “Bankruptcy Code”).  The Debtors, the Official Committee of Unsecured Creditors of the Debtors (the “Creditors’ Committee”) and certain other </w:t>
      </w:r>
      <w:r>
        <w:rPr>
          <w:i/>
          <w:iCs/>
          <w:color w:val="000000"/>
        </w:rPr>
        <w:t>ad hoc</w:t>
      </w:r>
      <w:r>
        <w:rPr>
          <w:color w:val="000000"/>
        </w:rPr>
        <w:t xml:space="preserve"> claimant and governmental unit groups appeal the </w:t>
      </w:r>
      <w:r w:rsidR="00F30478">
        <w:rPr>
          <w:color w:val="000000"/>
        </w:rPr>
        <w:t>decision and order on appeal of the District Court reversing the Confirmation Order .  The Confirmation Order authorized the Plan, which contained certain direct third party claim releases in respect of non-debtors and enjoined subject claimants from pursuing such non-debtors.</w:t>
      </w:r>
    </w:p>
    <w:p w14:paraId="18C38569" w14:textId="6BE6D11B" w:rsidR="008E3DD1" w:rsidRPr="00F30478" w:rsidRDefault="008E3DD1" w:rsidP="00683835">
      <w:pPr>
        <w:pStyle w:val="BodyTextFirstIndent"/>
        <w:ind w:firstLine="0"/>
      </w:pPr>
      <w:r>
        <w:rPr>
          <w:color w:val="000000"/>
        </w:rPr>
        <w:tab/>
        <w:t>We conclude that the Bankruptcy Court is not authorized or empowered to enter an order confirming a plan or approving a related settlement that compels creditors, claimants or other third parties to release their own, direct claims against non-debtor third parties.  We accordingly affirm the decision of the District Court and remand matters and proceedings to the Bankruptcy Court to address the same consistent with this decision.</w:t>
      </w:r>
    </w:p>
    <w:p w14:paraId="502C1F6E" w14:textId="067D949E" w:rsidR="00A77BBD" w:rsidRDefault="006239B5" w:rsidP="00A77BBD">
      <w:pPr>
        <w:pStyle w:val="BodyTextFirstIndent"/>
      </w:pPr>
      <w:r>
        <w:rPr>
          <w:color w:val="000000"/>
        </w:rPr>
        <w:t>Oxy</w:t>
      </w:r>
      <w:r w:rsidR="008B54D4">
        <w:rPr>
          <w:color w:val="000000"/>
        </w:rPr>
        <w:t>’</w:t>
      </w:r>
      <w:r w:rsidR="00A77BBD">
        <w:rPr>
          <w:color w:val="000000"/>
        </w:rPr>
        <w:t>s bankruptcy was occasioned by a health crisis that was</w:t>
      </w:r>
      <w:r w:rsidR="008B54D4">
        <w:rPr>
          <w:color w:val="000000"/>
        </w:rPr>
        <w:t>,</w:t>
      </w:r>
      <w:r w:rsidR="00A77BBD">
        <w:rPr>
          <w:color w:val="000000"/>
        </w:rPr>
        <w:t xml:space="preserve"> in significant part</w:t>
      </w:r>
      <w:r w:rsidR="008B54D4">
        <w:rPr>
          <w:color w:val="000000"/>
        </w:rPr>
        <w:t>,</w:t>
      </w:r>
      <w:r w:rsidR="00A77BBD">
        <w:rPr>
          <w:color w:val="000000"/>
        </w:rPr>
        <w:t xml:space="preserve"> of its own making:  an explosion of opioid addiction in the United States over the past two decades</w:t>
      </w:r>
      <w:r w:rsidR="008B54D4">
        <w:rPr>
          <w:color w:val="000000"/>
        </w:rPr>
        <w:t>,</w:t>
      </w:r>
      <w:r w:rsidR="00A77BBD">
        <w:rPr>
          <w:color w:val="000000"/>
        </w:rPr>
        <w:t xml:space="preserve"> which can be traced largely to the over-prescription of highly addictive medications</w:t>
      </w:r>
      <w:r w:rsidR="008B54D4">
        <w:rPr>
          <w:color w:val="000000"/>
        </w:rPr>
        <w:t>,</w:t>
      </w:r>
      <w:r w:rsidR="00A77BBD">
        <w:rPr>
          <w:color w:val="000000"/>
        </w:rPr>
        <w:t xml:space="preserve"> including</w:t>
      </w:r>
      <w:r w:rsidR="008B54D4">
        <w:rPr>
          <w:color w:val="000000"/>
        </w:rPr>
        <w:t>,</w:t>
      </w:r>
      <w:r w:rsidR="00A77BBD">
        <w:rPr>
          <w:color w:val="000000"/>
        </w:rPr>
        <w:t xml:space="preserve"> specifically and principally</w:t>
      </w:r>
      <w:r w:rsidR="008B54D4">
        <w:rPr>
          <w:color w:val="000000"/>
        </w:rPr>
        <w:t>,</w:t>
      </w:r>
      <w:r w:rsidR="00A77BBD">
        <w:rPr>
          <w:color w:val="000000"/>
        </w:rPr>
        <w:t xml:space="preserve"> </w:t>
      </w:r>
      <w:r>
        <w:rPr>
          <w:color w:val="000000"/>
        </w:rPr>
        <w:t>Oxy</w:t>
      </w:r>
      <w:r w:rsidR="008B54D4">
        <w:rPr>
          <w:color w:val="000000"/>
        </w:rPr>
        <w:t>’</w:t>
      </w:r>
      <w:r w:rsidR="00A77BBD">
        <w:rPr>
          <w:color w:val="000000"/>
        </w:rPr>
        <w:t>s proprietary</w:t>
      </w:r>
      <w:r w:rsidR="004142C8">
        <w:rPr>
          <w:color w:val="000000"/>
        </w:rPr>
        <w:t xml:space="preserve"> medication</w:t>
      </w:r>
      <w:r w:rsidR="008B54D4">
        <w:rPr>
          <w:color w:val="000000"/>
        </w:rPr>
        <w:t>,</w:t>
      </w:r>
      <w:r w:rsidR="00A77BBD">
        <w:rPr>
          <w:color w:val="000000"/>
        </w:rPr>
        <w:t xml:space="preserve"> Oxy</w:t>
      </w:r>
      <w:r w:rsidR="004142C8">
        <w:rPr>
          <w:color w:val="000000"/>
        </w:rPr>
        <w:t>con</w:t>
      </w:r>
      <w:r w:rsidR="00A77BBD">
        <w:rPr>
          <w:color w:val="000000"/>
        </w:rPr>
        <w:t>.</w:t>
      </w:r>
    </w:p>
    <w:p w14:paraId="47BE9B93" w14:textId="48C83F0D" w:rsidR="00A77BBD" w:rsidRDefault="00A77BBD" w:rsidP="00A77BBD">
      <w:pPr>
        <w:pStyle w:val="BodyTextFirstIndent"/>
      </w:pPr>
      <w:r>
        <w:rPr>
          <w:color w:val="000000"/>
        </w:rPr>
        <w:t xml:space="preserve">Despite a 2007 Plea Agreement with the United States - in which </w:t>
      </w:r>
      <w:r w:rsidR="006239B5">
        <w:rPr>
          <w:color w:val="000000"/>
        </w:rPr>
        <w:t>Oxy</w:t>
      </w:r>
      <w:r>
        <w:rPr>
          <w:color w:val="000000"/>
        </w:rPr>
        <w:t xml:space="preserve"> admitted that it had falsely marketed Oxy</w:t>
      </w:r>
      <w:r w:rsidR="00B9653E">
        <w:rPr>
          <w:color w:val="000000"/>
        </w:rPr>
        <w:t>con</w:t>
      </w:r>
      <w:r>
        <w:rPr>
          <w:color w:val="000000"/>
        </w:rPr>
        <w:t xml:space="preserve"> as non-addictive and had submitted false claims to the federal government for reimbursement of medically unnecessary opioid prescriptions (“</w:t>
      </w:r>
      <w:r w:rsidRPr="00CA3130">
        <w:rPr>
          <w:color w:val="000000"/>
        </w:rPr>
        <w:t>200</w:t>
      </w:r>
      <w:r w:rsidR="006239B5" w:rsidRPr="00CA3130">
        <w:rPr>
          <w:color w:val="000000"/>
        </w:rPr>
        <w:t>8</w:t>
      </w:r>
      <w:r w:rsidRPr="00CA3130">
        <w:rPr>
          <w:color w:val="000000"/>
        </w:rPr>
        <w:t xml:space="preserve"> Plea Agreement”)</w:t>
      </w:r>
      <w:r>
        <w:rPr>
          <w:color w:val="000000"/>
        </w:rPr>
        <w:t xml:space="preserve"> - </w:t>
      </w:r>
      <w:r w:rsidR="006239B5">
        <w:rPr>
          <w:color w:val="000000"/>
        </w:rPr>
        <w:t>Oxy</w:t>
      </w:r>
      <w:r w:rsidR="008B54D4">
        <w:rPr>
          <w:color w:val="000000"/>
        </w:rPr>
        <w:t>’</w:t>
      </w:r>
      <w:r>
        <w:rPr>
          <w:color w:val="000000"/>
        </w:rPr>
        <w:t xml:space="preserve">s profits after 2007 were driven almost exclusively by its aggressive marketing of </w:t>
      </w:r>
      <w:r w:rsidR="00E82FD6">
        <w:rPr>
          <w:color w:val="000000"/>
        </w:rPr>
        <w:t>Oxy</w:t>
      </w:r>
      <w:r w:rsidR="004142C8">
        <w:rPr>
          <w:color w:val="000000"/>
        </w:rPr>
        <w:t>con</w:t>
      </w:r>
      <w:r w:rsidR="006A227C">
        <w:rPr>
          <w:color w:val="000000"/>
        </w:rPr>
        <w:t xml:space="preserve">.  </w:t>
      </w:r>
      <w:r>
        <w:rPr>
          <w:color w:val="000000"/>
        </w:rPr>
        <w:t>But by 2019</w:t>
      </w:r>
      <w:r w:rsidR="008B54D4">
        <w:rPr>
          <w:color w:val="000000"/>
        </w:rPr>
        <w:t>,</w:t>
      </w:r>
      <w:r>
        <w:rPr>
          <w:color w:val="000000"/>
        </w:rPr>
        <w:t xml:space="preserve"> </w:t>
      </w:r>
      <w:r w:rsidR="006239B5">
        <w:rPr>
          <w:color w:val="000000"/>
        </w:rPr>
        <w:t>Oxy</w:t>
      </w:r>
      <w:r>
        <w:rPr>
          <w:color w:val="000000"/>
        </w:rPr>
        <w:t xml:space="preserve"> was facing thousands of lawsuits brought by persons who had become addicted to </w:t>
      </w:r>
      <w:r w:rsidR="00E82FD6">
        <w:rPr>
          <w:color w:val="000000"/>
        </w:rPr>
        <w:t>Oxy</w:t>
      </w:r>
      <w:r w:rsidR="004142C8">
        <w:rPr>
          <w:color w:val="000000"/>
        </w:rPr>
        <w:t>con</w:t>
      </w:r>
      <w:r>
        <w:rPr>
          <w:color w:val="000000"/>
        </w:rPr>
        <w:t xml:space="preserve"> and by the estates of addicts who had overdosed - either on </w:t>
      </w:r>
      <w:r w:rsidR="00E82FD6">
        <w:rPr>
          <w:color w:val="000000"/>
        </w:rPr>
        <w:t>Oxy</w:t>
      </w:r>
      <w:r w:rsidR="004142C8">
        <w:rPr>
          <w:color w:val="000000"/>
        </w:rPr>
        <w:t>con</w:t>
      </w:r>
      <w:r>
        <w:rPr>
          <w:color w:val="000000"/>
        </w:rPr>
        <w:t xml:space="preserve"> itself or on the street drugs (heroin</w:t>
      </w:r>
      <w:r w:rsidR="008B54D4">
        <w:rPr>
          <w:color w:val="000000"/>
        </w:rPr>
        <w:t>,</w:t>
      </w:r>
      <w:r>
        <w:rPr>
          <w:color w:val="000000"/>
        </w:rPr>
        <w:t xml:space="preserve"> fentanyl) for which </w:t>
      </w:r>
      <w:r w:rsidR="006239B5">
        <w:rPr>
          <w:color w:val="000000"/>
        </w:rPr>
        <w:t>Oxy</w:t>
      </w:r>
      <w:r w:rsidR="008B54D4">
        <w:rPr>
          <w:color w:val="000000"/>
        </w:rPr>
        <w:t>’</w:t>
      </w:r>
      <w:r>
        <w:rPr>
          <w:color w:val="000000"/>
        </w:rPr>
        <w:t>s product served as a feeder</w:t>
      </w:r>
      <w:r w:rsidR="006A227C">
        <w:rPr>
          <w:color w:val="000000"/>
        </w:rPr>
        <w:t xml:space="preserve">.  </w:t>
      </w:r>
      <w:r>
        <w:rPr>
          <w:color w:val="000000"/>
        </w:rPr>
        <w:t>It also faced new federal</w:t>
      </w:r>
      <w:r w:rsidR="008B54D4">
        <w:rPr>
          <w:color w:val="000000"/>
        </w:rPr>
        <w:t>,</w:t>
      </w:r>
      <w:r>
        <w:rPr>
          <w:color w:val="000000"/>
        </w:rPr>
        <w:t xml:space="preserve"> state and local Medicare reimbursement claims and a number of new false marketing claims brought under various state consumer protection laws</w:t>
      </w:r>
      <w:r w:rsidR="006A227C">
        <w:rPr>
          <w:color w:val="000000"/>
        </w:rPr>
        <w:t xml:space="preserve">.  </w:t>
      </w:r>
      <w:r>
        <w:rPr>
          <w:color w:val="000000"/>
        </w:rPr>
        <w:t>Finally</w:t>
      </w:r>
      <w:r w:rsidR="008B54D4">
        <w:rPr>
          <w:color w:val="000000"/>
        </w:rPr>
        <w:t>,</w:t>
      </w:r>
      <w:r>
        <w:rPr>
          <w:color w:val="000000"/>
        </w:rPr>
        <w:t xml:space="preserve"> in </w:t>
      </w:r>
      <w:r w:rsidR="00E82FD6">
        <w:rPr>
          <w:color w:val="000000"/>
        </w:rPr>
        <w:t>December</w:t>
      </w:r>
      <w:r>
        <w:rPr>
          <w:color w:val="000000"/>
        </w:rPr>
        <w:t xml:space="preserve"> 2020</w:t>
      </w:r>
      <w:r w:rsidR="008B54D4">
        <w:rPr>
          <w:color w:val="000000"/>
        </w:rPr>
        <w:t>,</w:t>
      </w:r>
      <w:r>
        <w:rPr>
          <w:color w:val="000000"/>
        </w:rPr>
        <w:t xml:space="preserve"> </w:t>
      </w:r>
      <w:r w:rsidR="006239B5">
        <w:rPr>
          <w:color w:val="000000"/>
        </w:rPr>
        <w:t>Oxy</w:t>
      </w:r>
      <w:r>
        <w:rPr>
          <w:color w:val="000000"/>
        </w:rPr>
        <w:t xml:space="preserve"> pled guilty to a criminal Information filed by the Department of Justice (“DOJ”) in the United States District Court for the District of </w:t>
      </w:r>
      <w:r w:rsidRPr="008E3DD1">
        <w:rPr>
          <w:color w:val="000000"/>
        </w:rPr>
        <w:t>New Jersey</w:t>
      </w:r>
      <w:r>
        <w:rPr>
          <w:color w:val="000000"/>
        </w:rPr>
        <w:t>; in its plea agreement</w:t>
      </w:r>
      <w:r w:rsidR="008B54D4">
        <w:rPr>
          <w:color w:val="000000"/>
        </w:rPr>
        <w:t>,</w:t>
      </w:r>
      <w:r>
        <w:rPr>
          <w:color w:val="000000"/>
        </w:rPr>
        <w:t xml:space="preserve"> the company (though not the people through whom the company acted) admitted to substantial deliberate wrongful conduct (“2020 Plea Agreement”)</w:t>
      </w:r>
      <w:r w:rsidR="006A227C">
        <w:rPr>
          <w:color w:val="000000"/>
        </w:rPr>
        <w:t xml:space="preserve">.  </w:t>
      </w:r>
    </w:p>
    <w:p w14:paraId="5CD76210" w14:textId="4DD9F1C7" w:rsidR="004142C8" w:rsidRDefault="00A77BBD" w:rsidP="00A77BBD">
      <w:pPr>
        <w:pStyle w:val="BodyTextFirstIndent"/>
        <w:rPr>
          <w:color w:val="000000"/>
        </w:rPr>
      </w:pPr>
      <w:r>
        <w:rPr>
          <w:color w:val="000000"/>
        </w:rPr>
        <w:t>Engulfed in a veritable tsunami of litigation</w:t>
      </w:r>
      <w:r w:rsidR="008B54D4">
        <w:rPr>
          <w:color w:val="000000"/>
        </w:rPr>
        <w:t>,</w:t>
      </w:r>
      <w:r>
        <w:rPr>
          <w:color w:val="000000"/>
        </w:rPr>
        <w:t xml:space="preserve"> </w:t>
      </w:r>
      <w:r w:rsidR="006239B5">
        <w:rPr>
          <w:color w:val="000000"/>
        </w:rPr>
        <w:t>Oxy</w:t>
      </w:r>
      <w:r>
        <w:rPr>
          <w:color w:val="000000"/>
        </w:rPr>
        <w:t xml:space="preserve"> filed for chapter 11 bankruptcy in </w:t>
      </w:r>
      <w:r w:rsidR="00E82FD6">
        <w:rPr>
          <w:color w:val="000000"/>
        </w:rPr>
        <w:t>November</w:t>
      </w:r>
      <w:r>
        <w:rPr>
          <w:color w:val="000000"/>
        </w:rPr>
        <w:t xml:space="preserve"> 2019</w:t>
      </w:r>
      <w:r w:rsidR="006A227C">
        <w:rPr>
          <w:color w:val="000000"/>
        </w:rPr>
        <w:t xml:space="preserve">.  </w:t>
      </w:r>
      <w:r>
        <w:rPr>
          <w:color w:val="000000"/>
        </w:rPr>
        <w:t>The intent was for a “</w:t>
      </w:r>
      <w:r>
        <w:rPr>
          <w:i/>
          <w:iCs/>
          <w:color w:val="000000"/>
        </w:rPr>
        <w:t>Manville</w:t>
      </w:r>
      <w:r>
        <w:rPr>
          <w:color w:val="000000"/>
        </w:rPr>
        <w:t xml:space="preserve">-style” bankruptcy that would resolve both existing and future claims against the company arising from the prescription of </w:t>
      </w:r>
      <w:r w:rsidR="00E82FD6">
        <w:rPr>
          <w:color w:val="000000"/>
        </w:rPr>
        <w:t>Oxy</w:t>
      </w:r>
      <w:r w:rsidR="004142C8">
        <w:rPr>
          <w:color w:val="000000"/>
        </w:rPr>
        <w:t>con</w:t>
      </w:r>
      <w:r w:rsidR="006A227C">
        <w:rPr>
          <w:color w:val="000000"/>
        </w:rPr>
        <w:t xml:space="preserve">.  </w:t>
      </w:r>
    </w:p>
    <w:p w14:paraId="7663345C" w14:textId="372335E5" w:rsidR="00A77BBD" w:rsidRDefault="00A77BBD" w:rsidP="00A77BBD">
      <w:pPr>
        <w:pStyle w:val="BodyTextFirstIndent"/>
      </w:pPr>
      <w:r>
        <w:rPr>
          <w:color w:val="000000"/>
        </w:rPr>
        <w:t xml:space="preserve">The automatic stay brought a stop to civil litigation against </w:t>
      </w:r>
      <w:r w:rsidR="006239B5">
        <w:rPr>
          <w:color w:val="000000"/>
        </w:rPr>
        <w:t>Oxy</w:t>
      </w:r>
      <w:r>
        <w:rPr>
          <w:color w:val="000000"/>
        </w:rPr>
        <w:t xml:space="preserve">; and a court-ordered stay halted litigation against certain non-debtors affiliated with the company - principally members of the </w:t>
      </w:r>
      <w:r w:rsidR="00E82FD6">
        <w:rPr>
          <w:color w:val="000000"/>
        </w:rPr>
        <w:t>P</w:t>
      </w:r>
      <w:r>
        <w:rPr>
          <w:color w:val="000000"/>
        </w:rPr>
        <w:t>ackler family (the “</w:t>
      </w:r>
      <w:r w:rsidR="00E82FD6">
        <w:rPr>
          <w:color w:val="000000"/>
        </w:rPr>
        <w:t>P</w:t>
      </w:r>
      <w:r>
        <w:rPr>
          <w:color w:val="000000"/>
        </w:rPr>
        <w:t>ack</w:t>
      </w:r>
      <w:r w:rsidR="00E47395">
        <w:rPr>
          <w:color w:val="000000"/>
        </w:rPr>
        <w:t>l</w:t>
      </w:r>
      <w:r>
        <w:rPr>
          <w:color w:val="000000"/>
        </w:rPr>
        <w:t>ers” or “</w:t>
      </w:r>
      <w:r w:rsidR="00E82FD6">
        <w:rPr>
          <w:color w:val="000000"/>
        </w:rPr>
        <w:t>P</w:t>
      </w:r>
      <w:r>
        <w:rPr>
          <w:color w:val="000000"/>
        </w:rPr>
        <w:t>ackler family”)</w:t>
      </w:r>
      <w:r w:rsidR="008B54D4">
        <w:rPr>
          <w:color w:val="000000"/>
        </w:rPr>
        <w:t>,</w:t>
      </w:r>
      <w:r>
        <w:rPr>
          <w:rStyle w:val="FootnoteReference"/>
          <w:rFonts w:eastAsia="Times New Roman" w:cs="Times New Roman"/>
          <w:color w:val="000000"/>
          <w:vertAlign w:val="superscript"/>
        </w:rPr>
        <w:footnoteReference w:id="2"/>
      </w:r>
      <w:r>
        <w:rPr>
          <w:color w:val="000000"/>
        </w:rPr>
        <w:t xml:space="preserve"> which had long owned the privately-held company - to buy time to craft a resolution</w:t>
      </w:r>
      <w:r w:rsidR="006A227C">
        <w:rPr>
          <w:color w:val="000000"/>
        </w:rPr>
        <w:t xml:space="preserve">.  </w:t>
      </w:r>
      <w:r>
        <w:rPr>
          <w:color w:val="000000"/>
        </w:rPr>
        <w:t>For two years</w:t>
      </w:r>
      <w:r w:rsidR="008B54D4">
        <w:rPr>
          <w:color w:val="000000"/>
        </w:rPr>
        <w:t>,</w:t>
      </w:r>
      <w:r>
        <w:rPr>
          <w:color w:val="000000"/>
        </w:rPr>
        <w:t xml:space="preserve"> committees of various classes of creditors - individuals</w:t>
      </w:r>
      <w:r w:rsidR="008B54D4">
        <w:rPr>
          <w:color w:val="000000"/>
        </w:rPr>
        <w:t>,</w:t>
      </w:r>
      <w:r>
        <w:rPr>
          <w:color w:val="000000"/>
        </w:rPr>
        <w:t xml:space="preserve"> state and local governments</w:t>
      </w:r>
      <w:r w:rsidR="008B54D4">
        <w:rPr>
          <w:color w:val="000000"/>
        </w:rPr>
        <w:t>,</w:t>
      </w:r>
      <w:r>
        <w:rPr>
          <w:color w:val="000000"/>
        </w:rPr>
        <w:t xml:space="preserve"> indigenous North American tribes</w:t>
      </w:r>
      <w:r w:rsidR="008B54D4">
        <w:rPr>
          <w:color w:val="000000"/>
        </w:rPr>
        <w:t>,</w:t>
      </w:r>
      <w:r>
        <w:rPr>
          <w:color w:val="000000"/>
        </w:rPr>
        <w:t xml:space="preserve"> even representatives of unborn children who were destined to suffer from opioid addiction - negotiated with </w:t>
      </w:r>
      <w:r w:rsidR="006239B5">
        <w:rPr>
          <w:color w:val="000000"/>
        </w:rPr>
        <w:t>Oxy</w:t>
      </w:r>
      <w:r>
        <w:rPr>
          <w:color w:val="000000"/>
        </w:rPr>
        <w:t xml:space="preserve"> and the </w:t>
      </w:r>
      <w:r w:rsidR="00E82FD6">
        <w:rPr>
          <w:color w:val="000000"/>
        </w:rPr>
        <w:t>Packler</w:t>
      </w:r>
      <w:r>
        <w:rPr>
          <w:color w:val="000000"/>
        </w:rPr>
        <w:t>s under the watchful eye of the experienced Bankruptcy Judge</w:t>
      </w:r>
      <w:r w:rsidR="008B54D4">
        <w:rPr>
          <w:color w:val="000000"/>
        </w:rPr>
        <w:t>,</w:t>
      </w:r>
      <w:r>
        <w:rPr>
          <w:color w:val="000000"/>
        </w:rPr>
        <w:t xml:space="preserve"> with the assistance of two of this country</w:t>
      </w:r>
      <w:r w:rsidR="008B54D4">
        <w:rPr>
          <w:color w:val="000000"/>
        </w:rPr>
        <w:t>’</w:t>
      </w:r>
      <w:r>
        <w:rPr>
          <w:color w:val="000000"/>
        </w:rPr>
        <w:t>s finest and most experienced mediators</w:t>
      </w:r>
      <w:r w:rsidR="008B54D4">
        <w:rPr>
          <w:color w:val="000000"/>
        </w:rPr>
        <w:t>,</w:t>
      </w:r>
      <w:r>
        <w:rPr>
          <w:color w:val="000000"/>
        </w:rPr>
        <w:t xml:space="preserve"> as well as a second Bankruptcy Judge.</w:t>
      </w:r>
    </w:p>
    <w:p w14:paraId="56DCA515" w14:textId="385B73A4" w:rsidR="00A77BBD" w:rsidRDefault="00A77BBD" w:rsidP="00E47395">
      <w:pPr>
        <w:pStyle w:val="BodyTextFirstIndent"/>
        <w:widowControl w:val="0"/>
      </w:pPr>
      <w:r>
        <w:rPr>
          <w:color w:val="000000"/>
        </w:rPr>
        <w:t>Eventually</w:t>
      </w:r>
      <w:r w:rsidR="008B54D4">
        <w:rPr>
          <w:color w:val="000000"/>
        </w:rPr>
        <w:t>,</w:t>
      </w:r>
      <w:r>
        <w:rPr>
          <w:color w:val="000000"/>
        </w:rPr>
        <w:t xml:space="preserve"> the parties crafted a plan of reorganization for </w:t>
      </w:r>
      <w:r w:rsidR="006239B5">
        <w:rPr>
          <w:color w:val="000000"/>
        </w:rPr>
        <w:t>Oxy</w:t>
      </w:r>
      <w:r>
        <w:rPr>
          <w:color w:val="000000"/>
        </w:rPr>
        <w:t xml:space="preserve"> that would</w:t>
      </w:r>
      <w:r w:rsidR="008B54D4">
        <w:rPr>
          <w:color w:val="000000"/>
        </w:rPr>
        <w:t>,</w:t>
      </w:r>
      <w:r>
        <w:rPr>
          <w:color w:val="000000"/>
        </w:rPr>
        <w:t xml:space="preserve"> if implemented</w:t>
      </w:r>
      <w:r w:rsidR="008B54D4">
        <w:rPr>
          <w:color w:val="000000"/>
        </w:rPr>
        <w:t>,</w:t>
      </w:r>
      <w:r>
        <w:rPr>
          <w:color w:val="000000"/>
        </w:rPr>
        <w:t xml:space="preserve"> afford billions of dollars for the resolution of both private and public claims</w:t>
      </w:r>
      <w:r w:rsidR="008B54D4">
        <w:rPr>
          <w:color w:val="000000"/>
        </w:rPr>
        <w:t>,</w:t>
      </w:r>
      <w:r>
        <w:rPr>
          <w:color w:val="000000"/>
        </w:rPr>
        <w:t xml:space="preserve"> while funding opioid relief and education programs that could provide tremendous benefit to the consuming public at large (the “Plan”).</w:t>
      </w:r>
      <w:r>
        <w:rPr>
          <w:rStyle w:val="FootnoteReference"/>
          <w:rFonts w:eastAsia="Times New Roman" w:cs="Times New Roman"/>
          <w:color w:val="000000"/>
          <w:vertAlign w:val="superscript"/>
        </w:rPr>
        <w:footnoteReference w:id="3"/>
      </w:r>
      <w:r>
        <w:rPr>
          <w:color w:val="000000"/>
        </w:rPr>
        <w:t xml:space="preserve"> That Plan was approved by supermajority of the votes cast by the members of each class of creditors.</w:t>
      </w:r>
      <w:r>
        <w:rPr>
          <w:rStyle w:val="FootnoteReference"/>
          <w:rFonts w:eastAsia="Times New Roman" w:cs="Times New Roman"/>
          <w:color w:val="000000"/>
          <w:vertAlign w:val="superscript"/>
        </w:rPr>
        <w:footnoteReference w:id="4"/>
      </w:r>
      <w:r>
        <w:rPr>
          <w:color w:val="000000"/>
        </w:rPr>
        <w:t xml:space="preserve"> It was confirmed by Judge </w:t>
      </w:r>
      <w:r w:rsidR="00E82FD6">
        <w:rPr>
          <w:color w:val="000000"/>
        </w:rPr>
        <w:t>Wains</w:t>
      </w:r>
      <w:r w:rsidR="008B54D4">
        <w:rPr>
          <w:color w:val="000000"/>
        </w:rPr>
        <w:t>,</w:t>
      </w:r>
      <w:r>
        <w:rPr>
          <w:color w:val="000000"/>
        </w:rPr>
        <w:t xml:space="preserve"> who had invested so much of himself in the effort to find a workable solution to a seemingly intractable problem.</w:t>
      </w:r>
    </w:p>
    <w:p w14:paraId="69B5F39D" w14:textId="199787AD" w:rsidR="00A77BBD" w:rsidRDefault="00A77BBD" w:rsidP="00A77BBD">
      <w:pPr>
        <w:pStyle w:val="BodyTextFirstIndent"/>
      </w:pPr>
      <w:r>
        <w:rPr>
          <w:color w:val="000000"/>
        </w:rPr>
        <w:t>But not everyone voted yes</w:t>
      </w:r>
      <w:r w:rsidR="006A227C">
        <w:rPr>
          <w:color w:val="000000"/>
        </w:rPr>
        <w:t xml:space="preserve">.  </w:t>
      </w:r>
      <w:r>
        <w:rPr>
          <w:color w:val="000000"/>
        </w:rPr>
        <w:t>Eight states</w:t>
      </w:r>
      <w:r w:rsidR="00CC340C">
        <w:rPr>
          <w:color w:val="000000"/>
        </w:rPr>
        <w:t xml:space="preserve"> (the “Subject State</w:t>
      </w:r>
      <w:r w:rsidR="00BF5C22">
        <w:rPr>
          <w:color w:val="000000"/>
        </w:rPr>
        <w:t xml:space="preserve"> Appellees</w:t>
      </w:r>
      <w:r w:rsidR="00CC340C">
        <w:rPr>
          <w:color w:val="000000"/>
        </w:rPr>
        <w:t>”)</w:t>
      </w:r>
      <w:r w:rsidR="008B54D4">
        <w:rPr>
          <w:color w:val="000000"/>
        </w:rPr>
        <w:t>,</w:t>
      </w:r>
      <w:r>
        <w:rPr>
          <w:color w:val="000000"/>
        </w:rPr>
        <w:t xml:space="preserve"> as well as certain Canadian municipalities and Canadian indigenous tribes</w:t>
      </w:r>
      <w:r w:rsidR="00CC340C">
        <w:rPr>
          <w:color w:val="000000"/>
        </w:rPr>
        <w:t xml:space="preserve"> (the “Subject Canadian </w:t>
      </w:r>
      <w:r w:rsidR="00BF5C22">
        <w:rPr>
          <w:color w:val="000000"/>
        </w:rPr>
        <w:t>Appellees</w:t>
      </w:r>
      <w:r w:rsidR="00CC340C">
        <w:rPr>
          <w:color w:val="000000"/>
        </w:rPr>
        <w:t>”)</w:t>
      </w:r>
      <w:r w:rsidR="008B54D4">
        <w:rPr>
          <w:color w:val="000000"/>
        </w:rPr>
        <w:t>,</w:t>
      </w:r>
      <w:r>
        <w:rPr>
          <w:color w:val="000000"/>
        </w:rPr>
        <w:t xml:space="preserve"> the City of Seattle (alone among all voting municipalities in the United States)</w:t>
      </w:r>
      <w:r w:rsidR="008B54D4">
        <w:rPr>
          <w:color w:val="000000"/>
        </w:rPr>
        <w:t>,</w:t>
      </w:r>
      <w:r>
        <w:rPr>
          <w:color w:val="000000"/>
        </w:rPr>
        <w:t xml:space="preserve"> as well as some 2</w:t>
      </w:r>
      <w:r w:rsidR="008B54D4">
        <w:rPr>
          <w:color w:val="000000"/>
        </w:rPr>
        <w:t>,</w:t>
      </w:r>
      <w:r>
        <w:rPr>
          <w:color w:val="000000"/>
        </w:rPr>
        <w:t>68</w:t>
      </w:r>
      <w:r w:rsidR="00CC340C">
        <w:rPr>
          <w:color w:val="000000"/>
        </w:rPr>
        <w:t>2</w:t>
      </w:r>
      <w:r>
        <w:rPr>
          <w:color w:val="000000"/>
        </w:rPr>
        <w:t xml:space="preserve"> individual personal injury claimants</w:t>
      </w:r>
      <w:r w:rsidR="008B54D4">
        <w:rPr>
          <w:color w:val="000000"/>
        </w:rPr>
        <w:t>,</w:t>
      </w:r>
      <w:r>
        <w:rPr>
          <w:color w:val="000000"/>
        </w:rPr>
        <w:t xml:space="preserve"> voted against the adoption of the Plan</w:t>
      </w:r>
      <w:r w:rsidR="006A227C">
        <w:rPr>
          <w:color w:val="000000"/>
        </w:rPr>
        <w:t xml:space="preserve">.  </w:t>
      </w:r>
      <w:r>
        <w:rPr>
          <w:color w:val="000000"/>
        </w:rPr>
        <w:t>The same states</w:t>
      </w:r>
      <w:r w:rsidR="008B54D4">
        <w:rPr>
          <w:color w:val="000000"/>
        </w:rPr>
        <w:t>,</w:t>
      </w:r>
      <w:r>
        <w:rPr>
          <w:color w:val="000000"/>
        </w:rPr>
        <w:t xml:space="preserve"> municipalities and tribes</w:t>
      </w:r>
      <w:r w:rsidR="008B54D4">
        <w:rPr>
          <w:color w:val="000000"/>
        </w:rPr>
        <w:t>,</w:t>
      </w:r>
      <w:r>
        <w:rPr>
          <w:color w:val="000000"/>
        </w:rPr>
        <w:t xml:space="preserve"> together with three of those individual claimants (representing themselves)</w:t>
      </w:r>
      <w:r w:rsidR="008B54D4">
        <w:rPr>
          <w:color w:val="000000"/>
        </w:rPr>
        <w:t>,</w:t>
      </w:r>
      <w:r>
        <w:rPr>
          <w:color w:val="000000"/>
        </w:rPr>
        <w:t xml:space="preserve"> filed formal objections to the Plan and appealed from its confirmation.</w:t>
      </w:r>
      <w:r>
        <w:rPr>
          <w:rStyle w:val="FootnoteReference"/>
          <w:rFonts w:eastAsia="Times New Roman" w:cs="Times New Roman"/>
          <w:color w:val="000000"/>
          <w:vertAlign w:val="superscript"/>
        </w:rPr>
        <w:footnoteReference w:id="5"/>
      </w:r>
      <w:r>
        <w:rPr>
          <w:color w:val="000000"/>
        </w:rPr>
        <w:t xml:space="preserve"> The United States Trustee (the “U.S</w:t>
      </w:r>
      <w:r w:rsidR="006A227C">
        <w:rPr>
          <w:color w:val="000000"/>
        </w:rPr>
        <w:t xml:space="preserve">. </w:t>
      </w:r>
      <w:r>
        <w:rPr>
          <w:color w:val="000000"/>
        </w:rPr>
        <w:t>Trustee”) in Bankruptcy</w:t>
      </w:r>
      <w:r>
        <w:rPr>
          <w:rStyle w:val="FootnoteReference"/>
          <w:rFonts w:eastAsia="Times New Roman" w:cs="Times New Roman"/>
          <w:color w:val="000000"/>
          <w:vertAlign w:val="superscript"/>
        </w:rPr>
        <w:footnoteReference w:id="6"/>
      </w:r>
      <w:r>
        <w:rPr>
          <w:color w:val="000000"/>
        </w:rPr>
        <w:t xml:space="preserve"> and the U.S</w:t>
      </w:r>
      <w:r w:rsidR="006A227C">
        <w:rPr>
          <w:color w:val="000000"/>
        </w:rPr>
        <w:t xml:space="preserve">. </w:t>
      </w:r>
      <w:r>
        <w:rPr>
          <w:color w:val="000000"/>
        </w:rPr>
        <w:t>Attorney</w:t>
      </w:r>
      <w:r w:rsidR="008B54D4">
        <w:rPr>
          <w:color w:val="000000"/>
        </w:rPr>
        <w:t>’</w:t>
      </w:r>
      <w:r>
        <w:rPr>
          <w:color w:val="000000"/>
        </w:rPr>
        <w:t>s Office for this District on behalf of the United States of America join</w:t>
      </w:r>
      <w:r w:rsidR="008E3DD1">
        <w:rPr>
          <w:color w:val="000000"/>
        </w:rPr>
        <w:t>ed</w:t>
      </w:r>
      <w:r>
        <w:rPr>
          <w:color w:val="000000"/>
        </w:rPr>
        <w:t xml:space="preserve"> in their objections.</w:t>
      </w:r>
    </w:p>
    <w:p w14:paraId="044FB7D6" w14:textId="5423081E" w:rsidR="00A77BBD" w:rsidRDefault="00A77BBD" w:rsidP="00A77BBD">
      <w:pPr>
        <w:pStyle w:val="BodyTextFirstIndent"/>
      </w:pPr>
      <w:r>
        <w:rPr>
          <w:color w:val="000000"/>
        </w:rPr>
        <w:t xml:space="preserve">All </w:t>
      </w:r>
      <w:r w:rsidR="00925F9D">
        <w:rPr>
          <w:color w:val="000000"/>
        </w:rPr>
        <w:t>a</w:t>
      </w:r>
      <w:r>
        <w:rPr>
          <w:color w:val="000000"/>
        </w:rPr>
        <w:t>ppellants</w:t>
      </w:r>
      <w:r w:rsidR="00925F9D">
        <w:rPr>
          <w:color w:val="000000"/>
        </w:rPr>
        <w:t>, in respect of the Confirmation Order,</w:t>
      </w:r>
      <w:r>
        <w:rPr>
          <w:color w:val="000000"/>
        </w:rPr>
        <w:t xml:space="preserve"> assign the same reason for their opposition:  the Plan provides broad releases</w:t>
      </w:r>
      <w:r w:rsidR="008B54D4">
        <w:rPr>
          <w:color w:val="000000"/>
        </w:rPr>
        <w:t>,</w:t>
      </w:r>
      <w:r>
        <w:rPr>
          <w:color w:val="000000"/>
        </w:rPr>
        <w:t xml:space="preserve"> not just of derivative</w:t>
      </w:r>
      <w:r w:rsidR="008B54D4">
        <w:rPr>
          <w:color w:val="000000"/>
        </w:rPr>
        <w:t>,</w:t>
      </w:r>
      <w:r>
        <w:rPr>
          <w:color w:val="000000"/>
        </w:rPr>
        <w:t xml:space="preserve"> but of particularized or direct claims - including claims predicated on fraud</w:t>
      </w:r>
      <w:r w:rsidR="008B54D4">
        <w:rPr>
          <w:color w:val="000000"/>
        </w:rPr>
        <w:t>,</w:t>
      </w:r>
      <w:r>
        <w:rPr>
          <w:color w:val="000000"/>
        </w:rPr>
        <w:t xml:space="preserve"> misrepresentation</w:t>
      </w:r>
      <w:r w:rsidR="008B54D4">
        <w:rPr>
          <w:color w:val="000000"/>
        </w:rPr>
        <w:t>,</w:t>
      </w:r>
      <w:r>
        <w:rPr>
          <w:color w:val="000000"/>
        </w:rPr>
        <w:t xml:space="preserve"> and willful misconduct under various state consumer protection statutes - to the members of the </w:t>
      </w:r>
      <w:r w:rsidR="00E82FD6">
        <w:rPr>
          <w:color w:val="000000"/>
        </w:rPr>
        <w:t>Packler</w:t>
      </w:r>
      <w:r>
        <w:rPr>
          <w:color w:val="000000"/>
        </w:rPr>
        <w:t xml:space="preserve"> family (none of whom is a debtor in the bankruptcy case) and to their affiliates and related entities</w:t>
      </w:r>
      <w:r w:rsidR="006A227C">
        <w:rPr>
          <w:color w:val="000000"/>
        </w:rPr>
        <w:t xml:space="preserve">.  </w:t>
      </w:r>
      <w:r>
        <w:rPr>
          <w:color w:val="000000"/>
        </w:rPr>
        <w:t xml:space="preserve">As the opioid crisis </w:t>
      </w:r>
      <w:r w:rsidR="00925F9D">
        <w:rPr>
          <w:color w:val="000000"/>
        </w:rPr>
        <w:t>continued</w:t>
      </w:r>
      <w:r>
        <w:rPr>
          <w:color w:val="000000"/>
        </w:rPr>
        <w:t xml:space="preserve"> and worsened in the wake of </w:t>
      </w:r>
      <w:r w:rsidR="006239B5">
        <w:rPr>
          <w:color w:val="000000"/>
        </w:rPr>
        <w:t>Oxy</w:t>
      </w:r>
      <w:r w:rsidR="008B54D4">
        <w:rPr>
          <w:color w:val="000000"/>
        </w:rPr>
        <w:t>’</w:t>
      </w:r>
      <w:r>
        <w:rPr>
          <w:color w:val="000000"/>
        </w:rPr>
        <w:t>s 200</w:t>
      </w:r>
      <w:r w:rsidR="00CC340C">
        <w:rPr>
          <w:color w:val="000000"/>
        </w:rPr>
        <w:t>8</w:t>
      </w:r>
      <w:r>
        <w:rPr>
          <w:color w:val="000000"/>
        </w:rPr>
        <w:t xml:space="preserve"> Plea Agreement</w:t>
      </w:r>
      <w:r w:rsidR="008B54D4">
        <w:rPr>
          <w:color w:val="000000"/>
        </w:rPr>
        <w:t>,</w:t>
      </w:r>
      <w:r>
        <w:rPr>
          <w:color w:val="000000"/>
        </w:rPr>
        <w:t xml:space="preserve"> the </w:t>
      </w:r>
      <w:r w:rsidR="00E82FD6">
        <w:rPr>
          <w:color w:val="000000"/>
        </w:rPr>
        <w:t>Packler</w:t>
      </w:r>
      <w:r>
        <w:rPr>
          <w:color w:val="000000"/>
        </w:rPr>
        <w:t xml:space="preserve">s - or at least those members of the family who were actively involved in the day to day management of </w:t>
      </w:r>
      <w:r w:rsidR="006239B5">
        <w:rPr>
          <w:color w:val="000000"/>
        </w:rPr>
        <w:t>Oxy</w:t>
      </w:r>
      <w:r>
        <w:rPr>
          <w:rStyle w:val="FootnoteReference"/>
          <w:rFonts w:eastAsia="Times New Roman" w:cs="Times New Roman"/>
          <w:color w:val="000000"/>
          <w:vertAlign w:val="superscript"/>
        </w:rPr>
        <w:footnoteReference w:id="7"/>
      </w:r>
      <w:r>
        <w:rPr>
          <w:color w:val="000000"/>
        </w:rPr>
        <w:t xml:space="preserve"> - were well aware that they were exposed to personal liability over </w:t>
      </w:r>
      <w:r w:rsidR="00E82FD6">
        <w:rPr>
          <w:color w:val="000000"/>
        </w:rPr>
        <w:t>Oxy</w:t>
      </w:r>
      <w:r w:rsidR="00640A7D">
        <w:rPr>
          <w:color w:val="000000"/>
        </w:rPr>
        <w:t>con</w:t>
      </w:r>
      <w:r w:rsidR="006A227C">
        <w:rPr>
          <w:color w:val="000000"/>
        </w:rPr>
        <w:t xml:space="preserve">.  </w:t>
      </w:r>
      <w:r>
        <w:rPr>
          <w:color w:val="000000"/>
        </w:rPr>
        <w:t>Concerned about how their personal financial situation might be affected</w:t>
      </w:r>
      <w:r w:rsidR="008B54D4">
        <w:rPr>
          <w:color w:val="000000"/>
        </w:rPr>
        <w:t>,</w:t>
      </w:r>
      <w:r>
        <w:rPr>
          <w:color w:val="000000"/>
        </w:rPr>
        <w:t xml:space="preserve"> the family began what one member described as an “aggressive[]”program of withdrawing money from </w:t>
      </w:r>
      <w:r w:rsidR="006239B5">
        <w:rPr>
          <w:color w:val="000000"/>
        </w:rPr>
        <w:t>Oxy</w:t>
      </w:r>
      <w:r>
        <w:rPr>
          <w:color w:val="000000"/>
        </w:rPr>
        <w:t xml:space="preserve"> almost as soon as the ink was dry on the 200</w:t>
      </w:r>
      <w:r w:rsidR="00CC340C">
        <w:rPr>
          <w:color w:val="000000"/>
        </w:rPr>
        <w:t>8</w:t>
      </w:r>
      <w:r>
        <w:rPr>
          <w:color w:val="000000"/>
        </w:rPr>
        <w:t xml:space="preserve"> papers</w:t>
      </w:r>
      <w:r w:rsidR="006A227C">
        <w:rPr>
          <w:color w:val="000000"/>
        </w:rPr>
        <w:t xml:space="preserve">.  </w:t>
      </w:r>
      <w:r>
        <w:rPr>
          <w:color w:val="000000"/>
        </w:rPr>
        <w:t xml:space="preserve">The </w:t>
      </w:r>
      <w:r w:rsidR="00E82FD6">
        <w:rPr>
          <w:color w:val="000000"/>
        </w:rPr>
        <w:t>Packler</w:t>
      </w:r>
      <w:r>
        <w:rPr>
          <w:color w:val="000000"/>
        </w:rPr>
        <w:t>s upstream</w:t>
      </w:r>
      <w:r w:rsidR="008E3DD1">
        <w:rPr>
          <w:color w:val="000000"/>
        </w:rPr>
        <w:t>ed</w:t>
      </w:r>
      <w:r>
        <w:rPr>
          <w:color w:val="000000"/>
        </w:rPr>
        <w:t xml:space="preserve"> some $10</w:t>
      </w:r>
      <w:r w:rsidR="00CC340C">
        <w:rPr>
          <w:color w:val="000000"/>
        </w:rPr>
        <w:t xml:space="preserve"> </w:t>
      </w:r>
      <w:r>
        <w:rPr>
          <w:color w:val="000000"/>
        </w:rPr>
        <w:t>billion out of the company between 200</w:t>
      </w:r>
      <w:r w:rsidR="00CC340C">
        <w:rPr>
          <w:color w:val="000000"/>
        </w:rPr>
        <w:t>9</w:t>
      </w:r>
      <w:r>
        <w:rPr>
          <w:color w:val="000000"/>
        </w:rPr>
        <w:t xml:space="preserve"> and 2017</w:t>
      </w:r>
      <w:r w:rsidR="008B54D4">
        <w:rPr>
          <w:color w:val="000000"/>
        </w:rPr>
        <w:t>,</w:t>
      </w:r>
      <w:r>
        <w:rPr>
          <w:color w:val="000000"/>
        </w:rPr>
        <w:t xml:space="preserve"> which</w:t>
      </w:r>
      <w:r w:rsidR="008B54D4">
        <w:rPr>
          <w:color w:val="000000"/>
        </w:rPr>
        <w:t>,</w:t>
      </w:r>
      <w:r>
        <w:rPr>
          <w:color w:val="000000"/>
        </w:rPr>
        <w:t xml:space="preserve"> according to their own expert</w:t>
      </w:r>
      <w:r w:rsidR="008B54D4">
        <w:rPr>
          <w:color w:val="000000"/>
        </w:rPr>
        <w:t>,</w:t>
      </w:r>
      <w:r>
        <w:rPr>
          <w:color w:val="000000"/>
        </w:rPr>
        <w:t xml:space="preserve"> substantially reduced </w:t>
      </w:r>
      <w:r w:rsidR="006239B5">
        <w:rPr>
          <w:color w:val="000000"/>
        </w:rPr>
        <w:t>Oxy</w:t>
      </w:r>
      <w:r w:rsidR="008B54D4">
        <w:rPr>
          <w:color w:val="000000"/>
        </w:rPr>
        <w:t>’</w:t>
      </w:r>
      <w:r>
        <w:rPr>
          <w:color w:val="000000"/>
        </w:rPr>
        <w:t xml:space="preserve">s “solvency cushion.” </w:t>
      </w:r>
      <w:r w:rsidR="00755A0D">
        <w:rPr>
          <w:color w:val="000000"/>
        </w:rPr>
        <w:t xml:space="preserve"> </w:t>
      </w:r>
      <w:r>
        <w:rPr>
          <w:color w:val="000000"/>
        </w:rPr>
        <w:t xml:space="preserve">Over half of that money was either invested in offshore companies owned by the </w:t>
      </w:r>
      <w:r w:rsidR="00E82FD6">
        <w:rPr>
          <w:color w:val="000000"/>
        </w:rPr>
        <w:t>Packler</w:t>
      </w:r>
      <w:r>
        <w:rPr>
          <w:color w:val="000000"/>
        </w:rPr>
        <w:t>s or deposited into spendthrift trusts that could not be reached in bankruptcy and off-shore entities located in places like the Bailiwick of Jersey.</w:t>
      </w:r>
    </w:p>
    <w:p w14:paraId="014C5281" w14:textId="0AF643DC" w:rsidR="00A77BBD" w:rsidRDefault="00A77BBD" w:rsidP="00A77BBD">
      <w:pPr>
        <w:pStyle w:val="BodyTextFirstIndent"/>
      </w:pPr>
      <w:r>
        <w:rPr>
          <w:color w:val="000000"/>
        </w:rPr>
        <w:t>When the family fortune was secure</w:t>
      </w:r>
      <w:r w:rsidR="008B54D4">
        <w:rPr>
          <w:color w:val="000000"/>
        </w:rPr>
        <w:t>,</w:t>
      </w:r>
      <w:r>
        <w:rPr>
          <w:color w:val="000000"/>
        </w:rPr>
        <w:t xml:space="preserve"> the </w:t>
      </w:r>
      <w:r w:rsidR="00E82FD6">
        <w:rPr>
          <w:color w:val="000000"/>
        </w:rPr>
        <w:t>Packler</w:t>
      </w:r>
      <w:r>
        <w:rPr>
          <w:color w:val="000000"/>
        </w:rPr>
        <w:t xml:space="preserve"> family members withdrew from </w:t>
      </w:r>
      <w:r w:rsidR="006239B5">
        <w:rPr>
          <w:color w:val="000000"/>
        </w:rPr>
        <w:t>Oxy</w:t>
      </w:r>
      <w:r w:rsidR="008B54D4">
        <w:rPr>
          <w:color w:val="000000"/>
        </w:rPr>
        <w:t>’</w:t>
      </w:r>
      <w:r>
        <w:rPr>
          <w:color w:val="000000"/>
        </w:rPr>
        <w:t>s Board and management</w:t>
      </w:r>
      <w:r w:rsidR="006A227C">
        <w:rPr>
          <w:color w:val="000000"/>
        </w:rPr>
        <w:t xml:space="preserve">.  </w:t>
      </w:r>
      <w:r>
        <w:rPr>
          <w:color w:val="000000"/>
        </w:rPr>
        <w:t>Bankruptcy discussions commenced the following year</w:t>
      </w:r>
      <w:r w:rsidR="006A227C">
        <w:rPr>
          <w:color w:val="000000"/>
        </w:rPr>
        <w:t xml:space="preserve">.  </w:t>
      </w:r>
      <w:r>
        <w:rPr>
          <w:color w:val="000000"/>
        </w:rPr>
        <w:t>As part of those pre-filing discussions</w:t>
      </w:r>
      <w:r w:rsidR="008B54D4">
        <w:rPr>
          <w:color w:val="000000"/>
        </w:rPr>
        <w:t>,</w:t>
      </w:r>
      <w:r>
        <w:rPr>
          <w:color w:val="000000"/>
        </w:rPr>
        <w:t xml:space="preserve"> the </w:t>
      </w:r>
      <w:r w:rsidR="00E82FD6">
        <w:rPr>
          <w:color w:val="000000"/>
        </w:rPr>
        <w:t>Packler</w:t>
      </w:r>
      <w:r>
        <w:rPr>
          <w:color w:val="000000"/>
        </w:rPr>
        <w:t>s offered to contribute toward a settlement</w:t>
      </w:r>
      <w:r w:rsidR="008B54D4">
        <w:rPr>
          <w:color w:val="000000"/>
        </w:rPr>
        <w:t>,</w:t>
      </w:r>
      <w:r>
        <w:rPr>
          <w:color w:val="000000"/>
        </w:rPr>
        <w:t xml:space="preserve"> but if - and only if - every member of the family could “achieve global peace” from all civil (not criminal) litigation</w:t>
      </w:r>
      <w:r w:rsidR="008B54D4">
        <w:rPr>
          <w:color w:val="000000"/>
        </w:rPr>
        <w:t>,</w:t>
      </w:r>
      <w:r>
        <w:rPr>
          <w:color w:val="000000"/>
        </w:rPr>
        <w:t xml:space="preserve"> including litigation by </w:t>
      </w:r>
      <w:r w:rsidR="006239B5">
        <w:rPr>
          <w:color w:val="000000"/>
        </w:rPr>
        <w:t>Oxy</w:t>
      </w:r>
      <w:r>
        <w:rPr>
          <w:color w:val="000000"/>
        </w:rPr>
        <w:t xml:space="preserve"> to claw back the money that had been taken out of the corporation</w:t>
      </w:r>
      <w:r w:rsidR="006A227C">
        <w:rPr>
          <w:color w:val="000000"/>
        </w:rPr>
        <w:t xml:space="preserve">.  </w:t>
      </w:r>
      <w:r>
        <w:rPr>
          <w:color w:val="000000"/>
        </w:rPr>
        <w:t xml:space="preserve">The Plan confirmed by the Bankruptcy Court extinguishes all civil claims against the </w:t>
      </w:r>
      <w:r w:rsidR="00E82FD6">
        <w:rPr>
          <w:color w:val="000000"/>
        </w:rPr>
        <w:t>Packler</w:t>
      </w:r>
      <w:r>
        <w:rPr>
          <w:color w:val="000000"/>
        </w:rPr>
        <w:t xml:space="preserve">s that relate in any way to the operations of </w:t>
      </w:r>
      <w:r w:rsidR="006239B5">
        <w:rPr>
          <w:color w:val="000000"/>
        </w:rPr>
        <w:t>Oxy</w:t>
      </w:r>
      <w:r>
        <w:rPr>
          <w:color w:val="000000"/>
        </w:rPr>
        <w:t xml:space="preserve"> - including claims on which certain members of the </w:t>
      </w:r>
      <w:r w:rsidR="00E82FD6">
        <w:rPr>
          <w:color w:val="000000"/>
        </w:rPr>
        <w:t>Packler</w:t>
      </w:r>
      <w:r>
        <w:rPr>
          <w:color w:val="000000"/>
        </w:rPr>
        <w:t xml:space="preserve"> family could be held personally liable to entities other than </w:t>
      </w:r>
      <w:r w:rsidR="006239B5">
        <w:rPr>
          <w:color w:val="000000"/>
        </w:rPr>
        <w:t>Oxy</w:t>
      </w:r>
      <w:r>
        <w:rPr>
          <w:color w:val="000000"/>
        </w:rPr>
        <w:t xml:space="preserve"> (principally the various states)</w:t>
      </w:r>
      <w:r w:rsidR="006A227C">
        <w:rPr>
          <w:color w:val="000000"/>
        </w:rPr>
        <w:t xml:space="preserve">.  </w:t>
      </w:r>
      <w:r>
        <w:rPr>
          <w:color w:val="000000"/>
        </w:rPr>
        <w:t xml:space="preserve">These claims could not be released if the </w:t>
      </w:r>
      <w:r w:rsidR="00E82FD6">
        <w:rPr>
          <w:color w:val="000000"/>
        </w:rPr>
        <w:t>Packler</w:t>
      </w:r>
      <w:r>
        <w:rPr>
          <w:color w:val="000000"/>
        </w:rPr>
        <w:t>s were themselves debtors in bankruptcy.</w:t>
      </w:r>
    </w:p>
    <w:p w14:paraId="6805D675" w14:textId="174A6A8E" w:rsidR="00A77BBD" w:rsidRDefault="008E3DD1" w:rsidP="00A77BBD">
      <w:pPr>
        <w:pStyle w:val="BodyTextFirstIndent"/>
      </w:pPr>
      <w:r>
        <w:rPr>
          <w:color w:val="000000"/>
        </w:rPr>
        <w:t xml:space="preserve">In the District Court, </w:t>
      </w:r>
      <w:r w:rsidR="00E974BF">
        <w:rPr>
          <w:color w:val="000000"/>
        </w:rPr>
        <w:t xml:space="preserve">the Appellees on this appeal and other entities </w:t>
      </w:r>
      <w:r w:rsidR="00A77BBD">
        <w:rPr>
          <w:color w:val="000000"/>
        </w:rPr>
        <w:t>attack</w:t>
      </w:r>
      <w:r w:rsidR="00E974BF">
        <w:rPr>
          <w:color w:val="000000"/>
        </w:rPr>
        <w:t>ed</w:t>
      </w:r>
      <w:r w:rsidR="00A77BBD">
        <w:rPr>
          <w:color w:val="000000"/>
        </w:rPr>
        <w:t xml:space="preserve"> the legality of the Plan</w:t>
      </w:r>
      <w:r w:rsidR="008B54D4">
        <w:rPr>
          <w:color w:val="000000"/>
        </w:rPr>
        <w:t>’</w:t>
      </w:r>
      <w:r w:rsidR="00A77BBD">
        <w:rPr>
          <w:color w:val="000000"/>
        </w:rPr>
        <w:t>s non-consensual release of third-party claims against non-debtors on a number of grounds</w:t>
      </w:r>
      <w:r w:rsidR="006A227C">
        <w:rPr>
          <w:color w:val="000000"/>
        </w:rPr>
        <w:t xml:space="preserve">.  </w:t>
      </w:r>
      <w:r w:rsidR="00A77BBD">
        <w:rPr>
          <w:color w:val="000000"/>
        </w:rPr>
        <w:t>They argue</w:t>
      </w:r>
      <w:r w:rsidR="00E974BF">
        <w:rPr>
          <w:color w:val="000000"/>
        </w:rPr>
        <w:t>d</w:t>
      </w:r>
      <w:r w:rsidR="00A77BBD">
        <w:rPr>
          <w:color w:val="000000"/>
        </w:rPr>
        <w:t xml:space="preserve"> that the release (referred to in this opinion as the “Section 10.7 Shareholder Release”) is both constitutionally defective and not statutorily authorized; that the Bankruptcy Court lack</w:t>
      </w:r>
      <w:r w:rsidR="00E974BF">
        <w:rPr>
          <w:color w:val="000000"/>
        </w:rPr>
        <w:t>ed</w:t>
      </w:r>
      <w:r w:rsidR="00A77BBD">
        <w:rPr>
          <w:color w:val="000000"/>
        </w:rPr>
        <w:t xml:space="preserve"> constitutional authority and subject matter jurisdiction to approve the release or to carry out certain “gatekeeping” aspects of the Plan that relate to it; and that granting a release to the non-debtor </w:t>
      </w:r>
      <w:r w:rsidR="00E82FD6">
        <w:rPr>
          <w:color w:val="000000"/>
        </w:rPr>
        <w:t>Packler</w:t>
      </w:r>
      <w:r w:rsidR="00A77BBD">
        <w:rPr>
          <w:color w:val="000000"/>
        </w:rPr>
        <w:t>s is unwarranted as a matter of fact and would constitute an abuse of the bankruptcy process.</w:t>
      </w:r>
    </w:p>
    <w:p w14:paraId="43013E2A" w14:textId="34CDDDE7" w:rsidR="00A77BBD" w:rsidRDefault="00E974BF" w:rsidP="00A77BBD">
      <w:pPr>
        <w:pStyle w:val="BodyTextFirstIndent"/>
      </w:pPr>
      <w:r>
        <w:rPr>
          <w:color w:val="000000"/>
        </w:rPr>
        <w:t xml:space="preserve">Before Judge Waitford, the Appellants in this appeal, the </w:t>
      </w:r>
      <w:r w:rsidR="00A77BBD">
        <w:rPr>
          <w:color w:val="000000"/>
        </w:rPr>
        <w:t xml:space="preserve">Debtors and </w:t>
      </w:r>
      <w:r>
        <w:rPr>
          <w:color w:val="000000"/>
        </w:rPr>
        <w:t xml:space="preserve">various creditor/claimant committees primarily  </w:t>
      </w:r>
      <w:r w:rsidR="00A77BBD">
        <w:rPr>
          <w:color w:val="000000"/>
        </w:rPr>
        <w:t xml:space="preserve">- buttressed by Judge </w:t>
      </w:r>
      <w:r w:rsidR="00E82FD6">
        <w:rPr>
          <w:color w:val="000000"/>
        </w:rPr>
        <w:t>Wains</w:t>
      </w:r>
      <w:r w:rsidR="008B54D4">
        <w:rPr>
          <w:color w:val="000000"/>
        </w:rPr>
        <w:t>’</w:t>
      </w:r>
      <w:r w:rsidR="00A77BBD">
        <w:rPr>
          <w:color w:val="000000"/>
        </w:rPr>
        <w:t>s comprehensive Confirmation Order - argue</w:t>
      </w:r>
      <w:r>
        <w:rPr>
          <w:color w:val="000000"/>
        </w:rPr>
        <w:t>d</w:t>
      </w:r>
      <w:r w:rsidR="00A77BBD">
        <w:rPr>
          <w:color w:val="000000"/>
        </w:rPr>
        <w:t xml:space="preserve"> that the Bankruptcy Court had </w:t>
      </w:r>
      <w:r w:rsidR="007636A6">
        <w:rPr>
          <w:color w:val="000000"/>
        </w:rPr>
        <w:t xml:space="preserve">subject matter </w:t>
      </w:r>
      <w:r w:rsidR="00A77BBD">
        <w:rPr>
          <w:color w:val="000000"/>
        </w:rPr>
        <w:t>jurisdiction to impose these broad third-party releases; insist</w:t>
      </w:r>
      <w:r>
        <w:rPr>
          <w:color w:val="000000"/>
        </w:rPr>
        <w:t>ed</w:t>
      </w:r>
      <w:r w:rsidR="00A77BBD">
        <w:rPr>
          <w:color w:val="000000"/>
        </w:rPr>
        <w:t xml:space="preserve"> that they are a necessary feature of the Plan; point out the tremendous public benefit that will be realized by implementing the Plan</w:t>
      </w:r>
      <w:r w:rsidR="008B54D4">
        <w:rPr>
          <w:color w:val="000000"/>
        </w:rPr>
        <w:t>’</w:t>
      </w:r>
      <w:r w:rsidR="00A77BBD">
        <w:rPr>
          <w:color w:val="000000"/>
        </w:rPr>
        <w:t>s many forward</w:t>
      </w:r>
      <w:r w:rsidR="00E150C1">
        <w:rPr>
          <w:color w:val="000000"/>
        </w:rPr>
        <w:t>-</w:t>
      </w:r>
      <w:r w:rsidR="00A77BBD">
        <w:rPr>
          <w:color w:val="000000"/>
        </w:rPr>
        <w:t>looking provisions; and urge</w:t>
      </w:r>
      <w:r>
        <w:rPr>
          <w:color w:val="000000"/>
        </w:rPr>
        <w:t>d</w:t>
      </w:r>
      <w:r w:rsidR="00A77BBD">
        <w:rPr>
          <w:color w:val="000000"/>
        </w:rPr>
        <w:t xml:space="preserve"> that the alternative - </w:t>
      </w:r>
      <w:r w:rsidR="006239B5">
        <w:rPr>
          <w:color w:val="000000"/>
        </w:rPr>
        <w:t>Oxy</w:t>
      </w:r>
      <w:r w:rsidR="008B54D4">
        <w:rPr>
          <w:color w:val="000000"/>
        </w:rPr>
        <w:t>’</w:t>
      </w:r>
      <w:r w:rsidR="00A77BBD">
        <w:rPr>
          <w:color w:val="000000"/>
        </w:rPr>
        <w:t>s liquidation - will inevitably yield far less benefit to all creditors and victims</w:t>
      </w:r>
      <w:r w:rsidR="008B54D4">
        <w:rPr>
          <w:color w:val="000000"/>
        </w:rPr>
        <w:t>,</w:t>
      </w:r>
      <w:r w:rsidR="00A77BBD">
        <w:rPr>
          <w:color w:val="000000"/>
        </w:rPr>
        <w:t xml:space="preserve"> in light of the cost and extraordinary hurdles that would have to be surmounted in order to claw back the billions of dollars that the </w:t>
      </w:r>
      <w:r w:rsidR="00E82FD6">
        <w:rPr>
          <w:color w:val="000000"/>
        </w:rPr>
        <w:t>Packler</w:t>
      </w:r>
      <w:r w:rsidR="00A77BBD">
        <w:rPr>
          <w:color w:val="000000"/>
        </w:rPr>
        <w:t xml:space="preserve">s have taken out of </w:t>
      </w:r>
      <w:r w:rsidR="006239B5">
        <w:rPr>
          <w:color w:val="000000"/>
        </w:rPr>
        <w:t>Oxy</w:t>
      </w:r>
      <w:r w:rsidR="00A77BBD">
        <w:rPr>
          <w:color w:val="000000"/>
        </w:rPr>
        <w:t>.</w:t>
      </w:r>
    </w:p>
    <w:p w14:paraId="21BAB9A3" w14:textId="3DC0780A" w:rsidR="00A77BBD" w:rsidRDefault="00A77BBD" w:rsidP="00A77BBD">
      <w:pPr>
        <w:pStyle w:val="BodyTextFirstIndent"/>
      </w:pPr>
      <w:r>
        <w:rPr>
          <w:color w:val="000000"/>
        </w:rPr>
        <w:t xml:space="preserve">The </w:t>
      </w:r>
      <w:r w:rsidR="00E974BF">
        <w:rPr>
          <w:color w:val="000000"/>
        </w:rPr>
        <w:t xml:space="preserve">District </w:t>
      </w:r>
      <w:r>
        <w:rPr>
          <w:color w:val="000000"/>
        </w:rPr>
        <w:t xml:space="preserve">Court </w:t>
      </w:r>
      <w:r w:rsidR="00E974BF">
        <w:rPr>
          <w:color w:val="000000"/>
        </w:rPr>
        <w:t>found that the Bankruptcy Court had</w:t>
      </w:r>
      <w:r>
        <w:rPr>
          <w:color w:val="000000"/>
        </w:rPr>
        <w:t xml:space="preserve"> undoubted subject matter jurisdiction to enter the challenged releases</w:t>
      </w:r>
      <w:r w:rsidR="006A227C">
        <w:rPr>
          <w:color w:val="000000"/>
        </w:rPr>
        <w:t xml:space="preserve">.  </w:t>
      </w:r>
      <w:r w:rsidR="00E974BF">
        <w:rPr>
          <w:color w:val="000000"/>
        </w:rPr>
        <w:t xml:space="preserve">The District Court ruled, however, that the </w:t>
      </w:r>
      <w:r w:rsidR="007636A6">
        <w:rPr>
          <w:color w:val="000000"/>
        </w:rPr>
        <w:t>Bankruptcy Court lacked statutory authority to grant the Plan’s third party releases.  We agree with the District Court and its reasoning</w:t>
      </w:r>
      <w:r>
        <w:rPr>
          <w:color w:val="000000"/>
        </w:rPr>
        <w:t>.</w:t>
      </w:r>
    </w:p>
    <w:p w14:paraId="137056AB" w14:textId="703775A8" w:rsidR="00A77BBD" w:rsidRDefault="00A77BBD" w:rsidP="00A77BBD">
      <w:pPr>
        <w:pStyle w:val="BodyTextFirstIndent"/>
      </w:pPr>
      <w:r>
        <w:rPr>
          <w:color w:val="000000"/>
        </w:rPr>
        <w:t xml:space="preserve">The great unsettled question in this case is whether the Bankruptcy Court - or any court - is statutorily authorized to grant </w:t>
      </w:r>
      <w:r w:rsidR="007636A6">
        <w:rPr>
          <w:color w:val="000000"/>
        </w:rPr>
        <w:t xml:space="preserve">broad, third party </w:t>
      </w:r>
      <w:r>
        <w:rPr>
          <w:color w:val="000000"/>
        </w:rPr>
        <w:t>releases</w:t>
      </w:r>
      <w:r w:rsidR="006A227C">
        <w:rPr>
          <w:color w:val="000000"/>
        </w:rPr>
        <w:t xml:space="preserve">.  </w:t>
      </w:r>
      <w:r>
        <w:rPr>
          <w:color w:val="000000"/>
        </w:rPr>
        <w:t>This issue has split the federal Circuits for decades</w:t>
      </w:r>
      <w:r w:rsidR="006A227C">
        <w:rPr>
          <w:color w:val="000000"/>
        </w:rPr>
        <w:t xml:space="preserve">.  </w:t>
      </w:r>
      <w:r>
        <w:rPr>
          <w:color w:val="000000"/>
        </w:rPr>
        <w:t>While the Circuits that say no are united in their reasoning</w:t>
      </w:r>
      <w:r w:rsidR="008B54D4">
        <w:rPr>
          <w:color w:val="000000"/>
        </w:rPr>
        <w:t>,</w:t>
      </w:r>
      <w:r>
        <w:rPr>
          <w:color w:val="000000"/>
        </w:rPr>
        <w:t xml:space="preserve"> the Circuits that say yes offer various justifications for their conclusions</w:t>
      </w:r>
      <w:r w:rsidR="006A227C">
        <w:rPr>
          <w:color w:val="000000"/>
        </w:rPr>
        <w:t xml:space="preserve">.  </w:t>
      </w:r>
      <w:r>
        <w:rPr>
          <w:color w:val="000000"/>
        </w:rPr>
        <w:t>And - crucially for this case</w:t>
      </w:r>
      <w:r w:rsidR="007636A6">
        <w:rPr>
          <w:color w:val="000000"/>
        </w:rPr>
        <w:t>, we</w:t>
      </w:r>
      <w:r>
        <w:rPr>
          <w:color w:val="000000"/>
        </w:rPr>
        <w:t xml:space="preserve"> </w:t>
      </w:r>
      <w:r w:rsidR="007636A6">
        <w:rPr>
          <w:color w:val="000000"/>
        </w:rPr>
        <w:t xml:space="preserve">suggested that </w:t>
      </w:r>
      <w:r>
        <w:rPr>
          <w:color w:val="000000"/>
        </w:rPr>
        <w:t xml:space="preserve">the question </w:t>
      </w:r>
      <w:r w:rsidR="007636A6">
        <w:rPr>
          <w:color w:val="000000"/>
        </w:rPr>
        <w:t>w</w:t>
      </w:r>
      <w:r>
        <w:rPr>
          <w:color w:val="000000"/>
        </w:rPr>
        <w:t>as open back in 2005</w:t>
      </w:r>
      <w:r w:rsidR="006A227C">
        <w:rPr>
          <w:color w:val="000000"/>
        </w:rPr>
        <w:t xml:space="preserve">.  </w:t>
      </w:r>
    </w:p>
    <w:p w14:paraId="121442B2" w14:textId="58C6C314" w:rsidR="00A77BBD" w:rsidRDefault="00E61116" w:rsidP="00A77BBD">
      <w:pPr>
        <w:pStyle w:val="BodyTextFirstIndent"/>
      </w:pPr>
      <w:r>
        <w:rPr>
          <w:color w:val="000000"/>
        </w:rPr>
        <w:t>T</w:t>
      </w:r>
      <w:r w:rsidR="00A77BBD">
        <w:rPr>
          <w:color w:val="000000"/>
        </w:rPr>
        <w:t>his issue arises</w:t>
      </w:r>
      <w:r>
        <w:rPr>
          <w:color w:val="000000"/>
        </w:rPr>
        <w:t xml:space="preserve"> frequently</w:t>
      </w:r>
      <w:r w:rsidR="008B54D4">
        <w:rPr>
          <w:color w:val="000000"/>
        </w:rPr>
        <w:t>,</w:t>
      </w:r>
      <w:r w:rsidR="00A77BBD">
        <w:rPr>
          <w:color w:val="000000"/>
        </w:rPr>
        <w:t xml:space="preserve"> the time has come for a comprehensive analysis of whether authority for such releases can be found in the Bankruptcy Code - that “comprehensive scheme” devised by Congress for resolving debtor-creditor relations</w:t>
      </w:r>
      <w:r w:rsidR="006A227C">
        <w:rPr>
          <w:color w:val="000000"/>
        </w:rPr>
        <w:t xml:space="preserve">.  </w:t>
      </w:r>
      <w:r w:rsidR="00A77BBD">
        <w:rPr>
          <w:i/>
          <w:iCs/>
          <w:color w:val="000000"/>
        </w:rPr>
        <w:t>See RadLAX Gateway Hotel</w:t>
      </w:r>
      <w:r w:rsidR="008B54D4">
        <w:rPr>
          <w:i/>
          <w:iCs/>
          <w:color w:val="000000"/>
        </w:rPr>
        <w:t>,</w:t>
      </w:r>
      <w:r w:rsidR="00A77BBD">
        <w:rPr>
          <w:i/>
          <w:iCs/>
          <w:color w:val="000000"/>
        </w:rPr>
        <w:t xml:space="preserve"> LLC</w:t>
      </w:r>
      <w:r w:rsidR="00E150C1">
        <w:rPr>
          <w:i/>
          <w:iCs/>
          <w:color w:val="000000"/>
        </w:rPr>
        <w:t xml:space="preserve"> v. </w:t>
      </w:r>
      <w:r w:rsidR="00A77BBD">
        <w:rPr>
          <w:i/>
          <w:iCs/>
          <w:color w:val="000000"/>
        </w:rPr>
        <w:t>Amalgamated Bank</w:t>
      </w:r>
      <w:r w:rsidR="008B54D4">
        <w:rPr>
          <w:color w:val="000000"/>
        </w:rPr>
        <w:t>,</w:t>
      </w:r>
      <w:r w:rsidR="00A77BBD">
        <w:rPr>
          <w:color w:val="000000"/>
        </w:rPr>
        <w:t xml:space="preserve"> </w:t>
      </w:r>
      <w:hyperlink r:id="rId9" w:history="1">
        <w:r w:rsidR="00A77BBD">
          <w:rPr>
            <w:color w:val="000000"/>
          </w:rPr>
          <w:t xml:space="preserve">566 </w:t>
        </w:r>
        <w:r w:rsidR="002F10FB">
          <w:rPr>
            <w:color w:val="000000"/>
          </w:rPr>
          <w:t xml:space="preserve">U.S. </w:t>
        </w:r>
        <w:r w:rsidR="00A77BBD">
          <w:rPr>
            <w:color w:val="000000"/>
          </w:rPr>
          <w:t>639</w:t>
        </w:r>
        <w:r w:rsidR="008B54D4">
          <w:rPr>
            <w:color w:val="000000"/>
          </w:rPr>
          <w:t>,</w:t>
        </w:r>
        <w:r w:rsidR="00A77BBD">
          <w:rPr>
            <w:color w:val="000000"/>
          </w:rPr>
          <w:t xml:space="preserve"> 645</w:t>
        </w:r>
      </w:hyperlink>
      <w:r w:rsidR="00A77BBD">
        <w:rPr>
          <w:color w:val="000000"/>
        </w:rPr>
        <w:t xml:space="preserve"> (2012).</w:t>
      </w:r>
    </w:p>
    <w:p w14:paraId="2E4F6B00" w14:textId="08DFCF86" w:rsidR="00A77BBD" w:rsidRDefault="00A77BBD" w:rsidP="00A77BBD">
      <w:pPr>
        <w:pStyle w:val="BodyTextFirstIndent"/>
      </w:pPr>
      <w:r>
        <w:rPr>
          <w:color w:val="000000"/>
        </w:rPr>
        <w:t>Aided by superb briefing and argument on both sides of the question</w:t>
      </w:r>
      <w:r w:rsidR="008B54D4">
        <w:rPr>
          <w:color w:val="000000"/>
        </w:rPr>
        <w:t>,</w:t>
      </w:r>
      <w:r>
        <w:rPr>
          <w:color w:val="000000"/>
        </w:rPr>
        <w:t xml:space="preserve"> and by extended ruminations on the subject by several esteemed bankruptcy judges of our own District</w:t>
      </w:r>
      <w:r w:rsidR="00E61116">
        <w:rPr>
          <w:color w:val="000000"/>
        </w:rPr>
        <w:t xml:space="preserve"> and the District Court itself</w:t>
      </w:r>
      <w:r w:rsidR="007636A6">
        <w:rPr>
          <w:color w:val="000000"/>
        </w:rPr>
        <w:t xml:space="preserve">, </w:t>
      </w:r>
      <w:r>
        <w:rPr>
          <w:color w:val="000000"/>
        </w:rPr>
        <w:t>this Court concludes that the Bankruptcy Code does not authorize such non</w:t>
      </w:r>
      <w:r>
        <w:rPr>
          <w:color w:val="000000"/>
        </w:rPr>
        <w:softHyphen/>
        <w:t>consensual non-debtor releases:  not in its express text (which is conceded); not in its silence (which is disputed); and not in any section or sections of the Bankruptcy Code that</w:t>
      </w:r>
      <w:r w:rsidR="008B54D4">
        <w:rPr>
          <w:color w:val="000000"/>
        </w:rPr>
        <w:t>,</w:t>
      </w:r>
      <w:r>
        <w:rPr>
          <w:color w:val="000000"/>
        </w:rPr>
        <w:t xml:space="preserve"> read singly or together</w:t>
      </w:r>
      <w:r w:rsidR="008B54D4">
        <w:rPr>
          <w:color w:val="000000"/>
        </w:rPr>
        <w:t>,</w:t>
      </w:r>
      <w:r>
        <w:rPr>
          <w:color w:val="000000"/>
        </w:rPr>
        <w:t xml:space="preserve"> purport to confer generalized or “residual” powers on a court sitting in bankruptcy</w:t>
      </w:r>
      <w:r w:rsidR="006A227C">
        <w:rPr>
          <w:color w:val="000000"/>
        </w:rPr>
        <w:t xml:space="preserve">.  </w:t>
      </w:r>
      <w:r>
        <w:rPr>
          <w:color w:val="000000"/>
        </w:rPr>
        <w:t>For that reason</w:t>
      </w:r>
      <w:r w:rsidR="008B54D4">
        <w:rPr>
          <w:color w:val="000000"/>
        </w:rPr>
        <w:t>,</w:t>
      </w:r>
      <w:r>
        <w:rPr>
          <w:color w:val="000000"/>
        </w:rPr>
        <w:t xml:space="preserve"> </w:t>
      </w:r>
      <w:r w:rsidR="00E61116">
        <w:rPr>
          <w:color w:val="000000"/>
        </w:rPr>
        <w:t xml:space="preserve">we affirm the District Court’s ruling that </w:t>
      </w:r>
      <w:r>
        <w:rPr>
          <w:color w:val="000000"/>
        </w:rPr>
        <w:t xml:space="preserve">the Confirmation Order (and the </w:t>
      </w:r>
      <w:r w:rsidR="00E61116">
        <w:rPr>
          <w:color w:val="000000"/>
        </w:rPr>
        <w:t>orders</w:t>
      </w:r>
      <w:r>
        <w:rPr>
          <w:color w:val="000000"/>
        </w:rPr>
        <w:t xml:space="preserve"> that flow</w:t>
      </w:r>
      <w:r w:rsidR="00E61116">
        <w:rPr>
          <w:color w:val="000000"/>
        </w:rPr>
        <w:t xml:space="preserve"> and enter</w:t>
      </w:r>
      <w:r>
        <w:rPr>
          <w:color w:val="000000"/>
        </w:rPr>
        <w:t xml:space="preserve"> from it) must be vacated.</w:t>
      </w:r>
    </w:p>
    <w:p w14:paraId="1DE49BEE" w14:textId="27FD26B2" w:rsidR="00A77BBD" w:rsidRDefault="00A77BBD" w:rsidP="000C2606">
      <w:pPr>
        <w:pStyle w:val="Heading1"/>
      </w:pPr>
      <w:r>
        <w:t>PARTIES</w:t>
      </w:r>
    </w:p>
    <w:p w14:paraId="663EAC1C" w14:textId="0D28FAB6" w:rsidR="00A77BBD" w:rsidRDefault="00A77BBD" w:rsidP="00A77BBD">
      <w:pPr>
        <w:pStyle w:val="BodyTextFirstIndent"/>
      </w:pPr>
      <w:r>
        <w:rPr>
          <w:color w:val="000000"/>
        </w:rPr>
        <w:t xml:space="preserve">The Appellants in this case are the </w:t>
      </w:r>
      <w:r w:rsidR="00E61116">
        <w:rPr>
          <w:color w:val="000000"/>
        </w:rPr>
        <w:t>Debt</w:t>
      </w:r>
      <w:r w:rsidR="007636A6">
        <w:rPr>
          <w:color w:val="000000"/>
        </w:rPr>
        <w:t>o</w:t>
      </w:r>
      <w:r w:rsidR="00E61116">
        <w:rPr>
          <w:color w:val="000000"/>
        </w:rPr>
        <w:t>rs and certain committees and ad hoc claimant groups.</w:t>
      </w:r>
    </w:p>
    <w:p w14:paraId="3D5E24BD" w14:textId="282A508E" w:rsidR="00E61116" w:rsidRDefault="00A77BBD" w:rsidP="00A77BBD">
      <w:pPr>
        <w:pStyle w:val="BodyTextFirstIndent"/>
        <w:rPr>
          <w:color w:val="000000"/>
        </w:rPr>
      </w:pPr>
      <w:r>
        <w:rPr>
          <w:color w:val="000000"/>
        </w:rPr>
        <w:t>The Appellees</w:t>
      </w:r>
      <w:r w:rsidR="00931C57">
        <w:rPr>
          <w:color w:val="000000"/>
        </w:rPr>
        <w:t xml:space="preserve"> are the U.S. Trustee</w:t>
      </w:r>
      <w:r w:rsidR="00CC4B2D">
        <w:rPr>
          <w:color w:val="000000"/>
        </w:rPr>
        <w:t xml:space="preserve">, the City of Small Desert, </w:t>
      </w:r>
      <w:r w:rsidR="00CC4B2D">
        <w:t xml:space="preserve">as </w:t>
      </w:r>
      <w:r w:rsidR="00931C57">
        <w:t>r</w:t>
      </w:r>
      <w:r w:rsidR="00CC4B2D">
        <w:t xml:space="preserve">epresentative </w:t>
      </w:r>
      <w:r w:rsidR="00931C57">
        <w:t>p</w:t>
      </w:r>
      <w:r w:rsidR="00CC4B2D">
        <w:t xml:space="preserve">laintiff for a </w:t>
      </w:r>
      <w:r w:rsidR="00931C57">
        <w:t>c</w:t>
      </w:r>
      <w:r w:rsidR="00CC4B2D">
        <w:t xml:space="preserve">lass </w:t>
      </w:r>
      <w:r w:rsidR="00931C57">
        <w:t>c</w:t>
      </w:r>
      <w:r w:rsidR="00CC4B2D">
        <w:t xml:space="preserve">onsisting of </w:t>
      </w:r>
      <w:r w:rsidR="00931C57">
        <w:t>a</w:t>
      </w:r>
      <w:r w:rsidR="00CC4B2D">
        <w:t xml:space="preserve">ll Canadian Municipalities, </w:t>
      </w:r>
      <w:r w:rsidR="00931C57">
        <w:t>c</w:t>
      </w:r>
      <w:r w:rsidR="00CC4B2D">
        <w:t xml:space="preserve">ertain Canadian </w:t>
      </w:r>
      <w:r w:rsidR="00931C57">
        <w:t>c</w:t>
      </w:r>
      <w:r w:rsidR="00CC4B2D">
        <w:t xml:space="preserve">ities </w:t>
      </w:r>
      <w:r w:rsidR="00931C57">
        <w:t>a</w:t>
      </w:r>
      <w:r w:rsidR="00CC4B2D">
        <w:t xml:space="preserve">nd First </w:t>
      </w:r>
      <w:r w:rsidR="00931C57">
        <w:t>indigenous n</w:t>
      </w:r>
      <w:r w:rsidR="00CC4B2D">
        <w:t>ations</w:t>
      </w:r>
      <w:r w:rsidR="00931C57">
        <w:t xml:space="preserve"> within Canada</w:t>
      </w:r>
      <w:r w:rsidR="00CC4B2D">
        <w:t xml:space="preserve">, and </w:t>
      </w:r>
      <w:r w:rsidR="00931C57">
        <w:t>c</w:t>
      </w:r>
      <w:r w:rsidR="00CC4B2D">
        <w:t xml:space="preserve">ertain </w:t>
      </w:r>
      <w:r w:rsidR="00931C57">
        <w:t>of the United S</w:t>
      </w:r>
      <w:r w:rsidR="00CC4B2D">
        <w:t>tates, by their Attorneys General.</w:t>
      </w:r>
    </w:p>
    <w:p w14:paraId="1E2ACD94" w14:textId="77777777" w:rsidR="00A77BBD" w:rsidRDefault="00A77BBD" w:rsidP="002A2716">
      <w:pPr>
        <w:pStyle w:val="Heading1"/>
      </w:pPr>
      <w:r>
        <w:t>BACKGROUND</w:t>
      </w:r>
    </w:p>
    <w:p w14:paraId="6B1D6F38" w14:textId="3D4B1188" w:rsidR="00A77BBD" w:rsidRDefault="00A77BBD" w:rsidP="00A77BBD">
      <w:pPr>
        <w:pStyle w:val="BodyTextFirstIndent"/>
      </w:pPr>
      <w:r>
        <w:rPr>
          <w:color w:val="000000"/>
        </w:rPr>
        <w:t>The following facts are derived from the appellate record as designated by the parties to this appeal</w:t>
      </w:r>
      <w:r w:rsidR="008B54D4">
        <w:rPr>
          <w:color w:val="000000"/>
        </w:rPr>
        <w:t>,</w:t>
      </w:r>
      <w:r>
        <w:rPr>
          <w:color w:val="000000"/>
        </w:rPr>
        <w:t xml:space="preserve"> unless indicated otherwise</w:t>
      </w:r>
      <w:r w:rsidR="006A227C">
        <w:rPr>
          <w:color w:val="000000"/>
        </w:rPr>
        <w:t xml:space="preserve">.  </w:t>
      </w:r>
    </w:p>
    <w:p w14:paraId="6340A9FB" w14:textId="4B44BC54" w:rsidR="00A77BBD" w:rsidRDefault="006239B5" w:rsidP="002A2716">
      <w:pPr>
        <w:pStyle w:val="Heading2"/>
      </w:pPr>
      <w:r>
        <w:t>Oxy</w:t>
      </w:r>
      <w:r w:rsidR="00A77BBD">
        <w:t xml:space="preserve"> Pharma</w:t>
      </w:r>
      <w:r w:rsidR="008B54D4">
        <w:t>,</w:t>
      </w:r>
      <w:r w:rsidR="00A77BBD">
        <w:t xml:space="preserve"> L.P.</w:t>
      </w:r>
    </w:p>
    <w:p w14:paraId="42C5FF17" w14:textId="59D1DB96" w:rsidR="00A77BBD" w:rsidRDefault="006239B5" w:rsidP="00A77BBD">
      <w:pPr>
        <w:pStyle w:val="BodyTextFirstIndent"/>
      </w:pPr>
      <w:r>
        <w:rPr>
          <w:color w:val="000000"/>
        </w:rPr>
        <w:t>Oxy</w:t>
      </w:r>
      <w:r w:rsidR="00A77BBD">
        <w:rPr>
          <w:color w:val="000000"/>
        </w:rPr>
        <w:t xml:space="preserve"> - originally known as “Frederick Company” - was founded by </w:t>
      </w:r>
      <w:r w:rsidR="00F243CC">
        <w:rPr>
          <w:color w:val="000000"/>
        </w:rPr>
        <w:t>George Gray in 1891</w:t>
      </w:r>
      <w:r w:rsidR="006A227C">
        <w:rPr>
          <w:color w:val="000000"/>
        </w:rPr>
        <w:t xml:space="preserve">.  </w:t>
      </w:r>
      <w:r w:rsidR="00A77BBD">
        <w:rPr>
          <w:color w:val="000000"/>
        </w:rPr>
        <w:t xml:space="preserve">The company was sold to </w:t>
      </w:r>
      <w:r w:rsidR="00F243CC">
        <w:rPr>
          <w:color w:val="000000"/>
        </w:rPr>
        <w:t>the</w:t>
      </w:r>
      <w:r w:rsidR="00A77BBD">
        <w:rPr>
          <w:color w:val="000000"/>
        </w:rPr>
        <w:t xml:space="preserve"> </w:t>
      </w:r>
      <w:r w:rsidR="00E82FD6">
        <w:rPr>
          <w:color w:val="000000"/>
        </w:rPr>
        <w:t>Packler</w:t>
      </w:r>
      <w:r w:rsidR="00A77BBD">
        <w:rPr>
          <w:color w:val="000000"/>
        </w:rPr>
        <w:t xml:space="preserve"> </w:t>
      </w:r>
      <w:r w:rsidR="00F243CC">
        <w:rPr>
          <w:color w:val="000000"/>
        </w:rPr>
        <w:t xml:space="preserve">Family </w:t>
      </w:r>
      <w:r w:rsidR="00A77BBD">
        <w:rPr>
          <w:color w:val="000000"/>
        </w:rPr>
        <w:t>in 1952</w:t>
      </w:r>
      <w:r w:rsidR="006A227C">
        <w:rPr>
          <w:color w:val="000000"/>
        </w:rPr>
        <w:t xml:space="preserve">.  </w:t>
      </w:r>
    </w:p>
    <w:p w14:paraId="40D7E754" w14:textId="69D680FF" w:rsidR="00A77BBD" w:rsidRDefault="006239B5" w:rsidP="00A77BBD">
      <w:pPr>
        <w:pStyle w:val="BodyTextFirstIndent"/>
      </w:pPr>
      <w:r>
        <w:rPr>
          <w:color w:val="000000"/>
        </w:rPr>
        <w:t>Oxy</w:t>
      </w:r>
      <w:r w:rsidR="008B54D4">
        <w:rPr>
          <w:color w:val="000000"/>
        </w:rPr>
        <w:t>,</w:t>
      </w:r>
      <w:r w:rsidR="00A77BBD">
        <w:rPr>
          <w:color w:val="000000"/>
        </w:rPr>
        <w:t xml:space="preserve"> the Debtors</w:t>
      </w:r>
      <w:r w:rsidR="008B54D4">
        <w:rPr>
          <w:color w:val="000000"/>
        </w:rPr>
        <w:t>’</w:t>
      </w:r>
      <w:r w:rsidR="00A77BBD">
        <w:rPr>
          <w:color w:val="000000"/>
        </w:rPr>
        <w:t xml:space="preserve"> main operating entity</w:t>
      </w:r>
      <w:r w:rsidR="008B54D4">
        <w:rPr>
          <w:color w:val="000000"/>
        </w:rPr>
        <w:t>,</w:t>
      </w:r>
      <w:r w:rsidR="00A77BBD">
        <w:rPr>
          <w:color w:val="000000"/>
        </w:rPr>
        <w:t xml:space="preserve"> is a Delaware limited partnership headquartered in </w:t>
      </w:r>
      <w:r w:rsidR="00F243CC">
        <w:rPr>
          <w:color w:val="000000"/>
        </w:rPr>
        <w:t>Philadelphia, Pennsylvania</w:t>
      </w:r>
      <w:r w:rsidR="006A227C">
        <w:rPr>
          <w:color w:val="000000"/>
        </w:rPr>
        <w:t xml:space="preserve">.  </w:t>
      </w:r>
      <w:r>
        <w:rPr>
          <w:color w:val="000000"/>
        </w:rPr>
        <w:t>Oxy</w:t>
      </w:r>
      <w:r w:rsidR="00F243CC">
        <w:rPr>
          <w:color w:val="000000"/>
        </w:rPr>
        <w:t>’s</w:t>
      </w:r>
      <w:r w:rsidR="00A77BBD">
        <w:rPr>
          <w:color w:val="000000"/>
        </w:rPr>
        <w:t xml:space="preserve"> general partner is </w:t>
      </w:r>
      <w:r w:rsidR="00F243CC">
        <w:rPr>
          <w:color w:val="000000"/>
        </w:rPr>
        <w:t>OO</w:t>
      </w:r>
      <w:r w:rsidR="00A77BBD">
        <w:rPr>
          <w:color w:val="000000"/>
        </w:rPr>
        <w:t xml:space="preserve"> Inc</w:t>
      </w:r>
      <w:r w:rsidR="006A227C">
        <w:rPr>
          <w:color w:val="000000"/>
        </w:rPr>
        <w:t xml:space="preserve">.  </w:t>
      </w:r>
      <w:r w:rsidR="00A77BBD">
        <w:rPr>
          <w:color w:val="000000"/>
        </w:rPr>
        <w:t>(“</w:t>
      </w:r>
      <w:r w:rsidR="00F243CC">
        <w:rPr>
          <w:color w:val="000000"/>
        </w:rPr>
        <w:t>OO</w:t>
      </w:r>
      <w:r w:rsidR="00A77BBD">
        <w:rPr>
          <w:color w:val="000000"/>
        </w:rPr>
        <w:t>I”)</w:t>
      </w:r>
      <w:r w:rsidR="008B54D4">
        <w:rPr>
          <w:color w:val="000000"/>
        </w:rPr>
        <w:t>,</w:t>
      </w:r>
      <w:r w:rsidR="00A77BBD">
        <w:rPr>
          <w:color w:val="000000"/>
        </w:rPr>
        <w:t xml:space="preserve"> a New York corporation</w:t>
      </w:r>
      <w:r w:rsidR="008B54D4">
        <w:rPr>
          <w:color w:val="000000"/>
        </w:rPr>
        <w:t>,</w:t>
      </w:r>
      <w:r w:rsidR="00A77BBD">
        <w:rPr>
          <w:color w:val="000000"/>
        </w:rPr>
        <w:t xml:space="preserve"> also headquartered in </w:t>
      </w:r>
      <w:r w:rsidR="00F243CC">
        <w:rPr>
          <w:color w:val="000000"/>
        </w:rPr>
        <w:t>Philadelphia, Pennsylvania</w:t>
      </w:r>
      <w:r w:rsidR="006A227C">
        <w:rPr>
          <w:color w:val="000000"/>
        </w:rPr>
        <w:t xml:space="preserve">.  </w:t>
      </w:r>
      <w:r w:rsidR="00A77BBD">
        <w:rPr>
          <w:color w:val="000000"/>
        </w:rPr>
        <w:t xml:space="preserve">The board of directors of </w:t>
      </w:r>
      <w:r w:rsidR="00F243CC">
        <w:rPr>
          <w:color w:val="000000"/>
        </w:rPr>
        <w:t>OOI</w:t>
      </w:r>
      <w:r w:rsidR="00A77BBD">
        <w:rPr>
          <w:color w:val="000000"/>
        </w:rPr>
        <w:t xml:space="preserve"> manages </w:t>
      </w:r>
      <w:r>
        <w:rPr>
          <w:color w:val="000000"/>
        </w:rPr>
        <w:t>Oxy</w:t>
      </w:r>
      <w:r w:rsidR="00A77BBD">
        <w:rPr>
          <w:color w:val="000000"/>
        </w:rPr>
        <w:t xml:space="preserve"> (the “Board”)</w:t>
      </w:r>
      <w:r w:rsidR="006A227C">
        <w:rPr>
          <w:color w:val="000000"/>
        </w:rPr>
        <w:t xml:space="preserve">.  </w:t>
      </w:r>
      <w:r>
        <w:rPr>
          <w:color w:val="000000"/>
        </w:rPr>
        <w:t>Oxy</w:t>
      </w:r>
      <w:r w:rsidR="00A77BBD">
        <w:rPr>
          <w:color w:val="000000"/>
        </w:rPr>
        <w:t xml:space="preserve"> has 22 wholly owned subsidiaries in the United States and the British Virgin Islands</w:t>
      </w:r>
      <w:r w:rsidR="006A227C">
        <w:rPr>
          <w:color w:val="000000"/>
        </w:rPr>
        <w:t xml:space="preserve">.  </w:t>
      </w:r>
    </w:p>
    <w:p w14:paraId="35D2506B" w14:textId="5273318C" w:rsidR="00A77BBD" w:rsidRDefault="006239B5" w:rsidP="00A77BBD">
      <w:pPr>
        <w:pStyle w:val="BodyTextFirstIndent"/>
      </w:pPr>
      <w:r>
        <w:rPr>
          <w:color w:val="000000"/>
        </w:rPr>
        <w:t>Oxy</w:t>
      </w:r>
      <w:r w:rsidR="00A77BBD">
        <w:rPr>
          <w:color w:val="000000"/>
        </w:rPr>
        <w:t xml:space="preserve"> is wholly owned </w:t>
      </w:r>
      <w:r w:rsidR="003A3B70">
        <w:rPr>
          <w:color w:val="000000"/>
        </w:rPr>
        <w:t xml:space="preserve">directly and indirectly </w:t>
      </w:r>
      <w:r w:rsidR="00A77BBD">
        <w:rPr>
          <w:color w:val="000000"/>
        </w:rPr>
        <w:t xml:space="preserve">by </w:t>
      </w:r>
      <w:r w:rsidR="003A3B70">
        <w:rPr>
          <w:color w:val="000000"/>
        </w:rPr>
        <w:t>certain affiliate non-debtor entities</w:t>
      </w:r>
      <w:r w:rsidR="00CC4B2D">
        <w:rPr>
          <w:color w:val="000000"/>
        </w:rPr>
        <w:t>,</w:t>
      </w:r>
      <w:r w:rsidR="006A227C">
        <w:rPr>
          <w:color w:val="000000"/>
        </w:rPr>
        <w:t xml:space="preserve">  </w:t>
      </w:r>
      <w:r w:rsidR="00A77BBD">
        <w:rPr>
          <w:color w:val="000000"/>
        </w:rPr>
        <w:t>which</w:t>
      </w:r>
      <w:r w:rsidR="00CC4B2D">
        <w:rPr>
          <w:color w:val="000000"/>
        </w:rPr>
        <w:t>,</w:t>
      </w:r>
      <w:r w:rsidR="00A77BBD">
        <w:rPr>
          <w:color w:val="000000"/>
        </w:rPr>
        <w:t xml:space="preserve"> are</w:t>
      </w:r>
      <w:r w:rsidR="00CC4B2D">
        <w:rPr>
          <w:color w:val="000000"/>
        </w:rPr>
        <w:t>,</w:t>
      </w:r>
      <w:r w:rsidR="00A77BBD">
        <w:rPr>
          <w:color w:val="000000"/>
        </w:rPr>
        <w:t xml:space="preserve"> in turn owned by certain trusts established for the benefit of the </w:t>
      </w:r>
      <w:r w:rsidR="00E82FD6">
        <w:rPr>
          <w:color w:val="000000"/>
        </w:rPr>
        <w:t>Packler</w:t>
      </w:r>
      <w:r w:rsidR="00A77BBD">
        <w:rPr>
          <w:color w:val="000000"/>
        </w:rPr>
        <w:t xml:space="preserve"> Families</w:t>
      </w:r>
      <w:r w:rsidR="006A227C">
        <w:rPr>
          <w:color w:val="000000"/>
        </w:rPr>
        <w:t xml:space="preserve">.  </w:t>
      </w:r>
    </w:p>
    <w:p w14:paraId="712D1249" w14:textId="50EC96C4" w:rsidR="00A77BBD" w:rsidRDefault="006239B5" w:rsidP="00A77BBD">
      <w:pPr>
        <w:pStyle w:val="BodyTextFirstIndent"/>
      </w:pPr>
      <w:r>
        <w:rPr>
          <w:color w:val="000000"/>
        </w:rPr>
        <w:t>Oxy</w:t>
      </w:r>
      <w:r w:rsidR="00A77BBD">
        <w:rPr>
          <w:color w:val="000000"/>
        </w:rPr>
        <w:t xml:space="preserve"> operates </w:t>
      </w:r>
      <w:r w:rsidR="003A3B70">
        <w:rPr>
          <w:color w:val="000000"/>
        </w:rPr>
        <w:t>t</w:t>
      </w:r>
      <w:r w:rsidR="00CC4B2D">
        <w:rPr>
          <w:color w:val="000000"/>
        </w:rPr>
        <w:t>he</w:t>
      </w:r>
      <w:r w:rsidR="003A3B70">
        <w:rPr>
          <w:color w:val="000000"/>
        </w:rPr>
        <w:t xml:space="preserve"> company’s branded</w:t>
      </w:r>
      <w:r w:rsidR="00A77BBD">
        <w:rPr>
          <w:color w:val="000000"/>
        </w:rPr>
        <w:t xml:space="preserve"> prescription pharmaceutical business</w:t>
      </w:r>
      <w:r w:rsidR="008B54D4">
        <w:rPr>
          <w:color w:val="000000"/>
        </w:rPr>
        <w:t>,</w:t>
      </w:r>
      <w:r w:rsidR="00A77BBD">
        <w:rPr>
          <w:color w:val="000000"/>
        </w:rPr>
        <w:t xml:space="preserve"> which includes both opioid and non-opioid products</w:t>
      </w:r>
      <w:r w:rsidR="006A227C">
        <w:rPr>
          <w:color w:val="000000"/>
        </w:rPr>
        <w:t xml:space="preserve">.  </w:t>
      </w:r>
      <w:r w:rsidR="00E82FD6">
        <w:rPr>
          <w:color w:val="000000"/>
        </w:rPr>
        <w:t>Oxy</w:t>
      </w:r>
      <w:r w:rsidR="00640A7D">
        <w:rPr>
          <w:color w:val="000000"/>
        </w:rPr>
        <w:t>con</w:t>
      </w:r>
      <w:r w:rsidR="00A77BBD">
        <w:rPr>
          <w:color w:val="000000"/>
        </w:rPr>
        <w:t xml:space="preserve"> is </w:t>
      </w:r>
      <w:r w:rsidR="003A3B70">
        <w:rPr>
          <w:color w:val="000000"/>
        </w:rPr>
        <w:t>the company’s</w:t>
      </w:r>
      <w:r w:rsidR="00A77BBD">
        <w:rPr>
          <w:color w:val="000000"/>
        </w:rPr>
        <w:t xml:space="preserve"> principal branded opioid medications</w:t>
      </w:r>
      <w:r w:rsidR="006A227C">
        <w:rPr>
          <w:color w:val="000000"/>
        </w:rPr>
        <w:t xml:space="preserve">.  </w:t>
      </w:r>
      <w:r>
        <w:rPr>
          <w:color w:val="000000"/>
        </w:rPr>
        <w:t>Oxy</w:t>
      </w:r>
      <w:r w:rsidR="00640A7D">
        <w:rPr>
          <w:color w:val="000000"/>
        </w:rPr>
        <w:t>con</w:t>
      </w:r>
      <w:r w:rsidR="00A77BBD">
        <w:rPr>
          <w:color w:val="000000"/>
        </w:rPr>
        <w:t xml:space="preserve"> generated approximately $34 billion in revenue total between 1996</w:t>
      </w:r>
      <w:r w:rsidR="00A77BBD">
        <w:rPr>
          <w:color w:val="000000"/>
        </w:rPr>
        <w:softHyphen/>
      </w:r>
      <w:r w:rsidR="003A3B70">
        <w:rPr>
          <w:color w:val="000000"/>
        </w:rPr>
        <w:t xml:space="preserve"> </w:t>
      </w:r>
      <w:r w:rsidR="00CC4B2D">
        <w:rPr>
          <w:color w:val="000000"/>
        </w:rPr>
        <w:t>–</w:t>
      </w:r>
      <w:r w:rsidR="003A3B70">
        <w:rPr>
          <w:color w:val="000000"/>
        </w:rPr>
        <w:t xml:space="preserve"> </w:t>
      </w:r>
      <w:r w:rsidR="00A77BBD">
        <w:rPr>
          <w:color w:val="000000"/>
        </w:rPr>
        <w:t>2019</w:t>
      </w:r>
      <w:r w:rsidR="00CC4B2D">
        <w:rPr>
          <w:color w:val="000000"/>
        </w:rPr>
        <w:t xml:space="preserve"> </w:t>
      </w:r>
      <w:r w:rsidR="00A77BBD">
        <w:rPr>
          <w:color w:val="000000"/>
        </w:rPr>
        <w:t xml:space="preserve">from </w:t>
      </w:r>
      <w:r w:rsidR="00E82FD6">
        <w:rPr>
          <w:color w:val="000000"/>
        </w:rPr>
        <w:t>Oxy</w:t>
      </w:r>
      <w:r w:rsidR="00640A7D">
        <w:rPr>
          <w:color w:val="000000"/>
        </w:rPr>
        <w:t>con</w:t>
      </w:r>
      <w:r w:rsidR="00A77BBD">
        <w:rPr>
          <w:color w:val="000000"/>
        </w:rPr>
        <w:t xml:space="preserve"> sales</w:t>
      </w:r>
      <w:r w:rsidR="003A3B70">
        <w:rPr>
          <w:color w:val="000000"/>
        </w:rPr>
        <w:t xml:space="preserve">; </w:t>
      </w:r>
      <w:r w:rsidR="00A77BBD">
        <w:rPr>
          <w:color w:val="000000"/>
        </w:rPr>
        <w:t>prior to bankruptcy</w:t>
      </w:r>
      <w:r w:rsidR="008B54D4">
        <w:rPr>
          <w:color w:val="000000"/>
        </w:rPr>
        <w:t>,</w:t>
      </w:r>
      <w:r w:rsidR="0005772E">
        <w:rPr>
          <w:color w:val="000000"/>
        </w:rPr>
        <w:t xml:space="preserve"> </w:t>
      </w:r>
      <w:r w:rsidR="00E82FD6">
        <w:rPr>
          <w:color w:val="000000"/>
        </w:rPr>
        <w:t>Oxy</w:t>
      </w:r>
      <w:r w:rsidR="00640A7D">
        <w:rPr>
          <w:color w:val="000000"/>
        </w:rPr>
        <w:t>con</w:t>
      </w:r>
      <w:r w:rsidR="00A77BBD">
        <w:rPr>
          <w:color w:val="000000"/>
        </w:rPr>
        <w:t xml:space="preserve"> accounted for </w:t>
      </w:r>
      <w:r w:rsidR="003A3B70">
        <w:rPr>
          <w:color w:val="000000"/>
        </w:rPr>
        <w:t>100</w:t>
      </w:r>
      <w:r w:rsidR="00A77BBD">
        <w:rPr>
          <w:color w:val="000000"/>
        </w:rPr>
        <w:t xml:space="preserve">% of </w:t>
      </w:r>
      <w:r>
        <w:rPr>
          <w:color w:val="000000"/>
        </w:rPr>
        <w:t>Oxy</w:t>
      </w:r>
      <w:r w:rsidR="008B54D4">
        <w:rPr>
          <w:color w:val="000000"/>
        </w:rPr>
        <w:t>’</w:t>
      </w:r>
      <w:r w:rsidR="00A77BBD">
        <w:rPr>
          <w:color w:val="000000"/>
        </w:rPr>
        <w:t xml:space="preserve">s </w:t>
      </w:r>
      <w:r w:rsidR="002F10FB">
        <w:rPr>
          <w:color w:val="000000"/>
        </w:rPr>
        <w:t xml:space="preserve">U.S. </w:t>
      </w:r>
      <w:r w:rsidR="00A77BBD">
        <w:rPr>
          <w:color w:val="000000"/>
        </w:rPr>
        <w:t>revenue</w:t>
      </w:r>
      <w:r w:rsidR="006A227C">
        <w:rPr>
          <w:color w:val="000000"/>
        </w:rPr>
        <w:t xml:space="preserve">.  </w:t>
      </w:r>
    </w:p>
    <w:p w14:paraId="69235EC5" w14:textId="3F4246CA" w:rsidR="00A77BBD" w:rsidRDefault="006239B5" w:rsidP="00A77BBD">
      <w:pPr>
        <w:pStyle w:val="BodyTextFirstIndent"/>
      </w:pPr>
      <w:r>
        <w:rPr>
          <w:color w:val="000000"/>
        </w:rPr>
        <w:t>Oxy</w:t>
      </w:r>
      <w:r w:rsidR="00A77BBD">
        <w:rPr>
          <w:color w:val="000000"/>
        </w:rPr>
        <w:t xml:space="preserve"> manufactures </w:t>
      </w:r>
      <w:r w:rsidR="00E82FD6">
        <w:rPr>
          <w:color w:val="000000"/>
        </w:rPr>
        <w:t>Oxy</w:t>
      </w:r>
      <w:r w:rsidR="00640A7D">
        <w:rPr>
          <w:color w:val="000000"/>
        </w:rPr>
        <w:t>con</w:t>
      </w:r>
      <w:r w:rsidR="00A77BBD">
        <w:rPr>
          <w:color w:val="000000"/>
        </w:rPr>
        <w:t xml:space="preserve"> for itself and</w:t>
      </w:r>
      <w:r w:rsidR="008B54D4">
        <w:rPr>
          <w:color w:val="000000"/>
        </w:rPr>
        <w:t>,</w:t>
      </w:r>
      <w:r w:rsidR="00A77BBD">
        <w:rPr>
          <w:color w:val="000000"/>
        </w:rPr>
        <w:t xml:space="preserve"> in limited quantities</w:t>
      </w:r>
      <w:r w:rsidR="008B54D4">
        <w:rPr>
          <w:color w:val="000000"/>
        </w:rPr>
        <w:t>,</w:t>
      </w:r>
      <w:r w:rsidR="00A77BBD">
        <w:rPr>
          <w:color w:val="000000"/>
        </w:rPr>
        <w:t xml:space="preserve"> for certain foreign independent associated companies (“IAC”)</w:t>
      </w:r>
      <w:r w:rsidR="008B54D4">
        <w:rPr>
          <w:color w:val="000000"/>
        </w:rPr>
        <w:t>,</w:t>
      </w:r>
      <w:r w:rsidR="00A77BBD">
        <w:rPr>
          <w:color w:val="000000"/>
        </w:rPr>
        <w:t xml:space="preserve"> which are ultimately owned by the </w:t>
      </w:r>
      <w:r w:rsidR="00E82FD6">
        <w:rPr>
          <w:color w:val="000000"/>
        </w:rPr>
        <w:t>Packler</w:t>
      </w:r>
      <w:r w:rsidR="00A77BBD">
        <w:rPr>
          <w:color w:val="000000"/>
        </w:rPr>
        <w:t xml:space="preserve"> family</w:t>
      </w:r>
      <w:r w:rsidR="006A227C">
        <w:rPr>
          <w:color w:val="000000"/>
        </w:rPr>
        <w:t xml:space="preserve">.  </w:t>
      </w:r>
      <w:r>
        <w:rPr>
          <w:color w:val="000000"/>
        </w:rPr>
        <w:t>Oxy</w:t>
      </w:r>
      <w:r w:rsidR="00A77BBD">
        <w:rPr>
          <w:color w:val="000000"/>
        </w:rPr>
        <w:t xml:space="preserve"> receives royalties from IACs</w:t>
      </w:r>
      <w:r w:rsidR="008B54D4">
        <w:rPr>
          <w:color w:val="000000"/>
        </w:rPr>
        <w:t>’</w:t>
      </w:r>
      <w:r w:rsidR="00A77BBD">
        <w:rPr>
          <w:color w:val="000000"/>
        </w:rPr>
        <w:t xml:space="preserve"> sales for </w:t>
      </w:r>
      <w:r w:rsidR="00E82FD6">
        <w:rPr>
          <w:color w:val="000000"/>
        </w:rPr>
        <w:t>Oxy</w:t>
      </w:r>
      <w:r w:rsidR="00640A7D">
        <w:rPr>
          <w:color w:val="000000"/>
        </w:rPr>
        <w:t>con</w:t>
      </w:r>
      <w:r w:rsidR="00A77BBD">
        <w:rPr>
          <w:color w:val="000000"/>
        </w:rPr>
        <w:t xml:space="preserve"> abroad</w:t>
      </w:r>
      <w:r w:rsidR="006A227C">
        <w:rPr>
          <w:color w:val="000000"/>
        </w:rPr>
        <w:t xml:space="preserve">.  </w:t>
      </w:r>
      <w:r w:rsidR="00A77BBD">
        <w:rPr>
          <w:color w:val="000000"/>
        </w:rPr>
        <w:t>(</w:t>
      </w:r>
      <w:r w:rsidR="00A77BBD">
        <w:rPr>
          <w:i/>
          <w:iCs/>
          <w:color w:val="000000"/>
        </w:rPr>
        <w:t>Id</w:t>
      </w:r>
      <w:r w:rsidR="00A77BBD">
        <w:rPr>
          <w:color w:val="000000"/>
        </w:rPr>
        <w:t>.)</w:t>
      </w:r>
      <w:r w:rsidR="006A227C">
        <w:rPr>
          <w:color w:val="000000"/>
        </w:rPr>
        <w:t xml:space="preserve">.  </w:t>
      </w:r>
      <w:r w:rsidR="00A77BBD">
        <w:rPr>
          <w:color w:val="000000"/>
        </w:rPr>
        <w:t>The IACs are not debtors in this case.</w:t>
      </w:r>
    </w:p>
    <w:p w14:paraId="0CF7AD45" w14:textId="132BF6AA" w:rsidR="00A77BBD" w:rsidRDefault="00A77BBD" w:rsidP="00A77BBD">
      <w:pPr>
        <w:pStyle w:val="BodyTextFirstIndent"/>
      </w:pPr>
      <w:r>
        <w:rPr>
          <w:color w:val="000000"/>
        </w:rPr>
        <w:t>Until early 201</w:t>
      </w:r>
      <w:r w:rsidR="003A3B70">
        <w:rPr>
          <w:color w:val="000000"/>
        </w:rPr>
        <w:t>8</w:t>
      </w:r>
      <w:r w:rsidR="008B54D4">
        <w:rPr>
          <w:color w:val="000000"/>
        </w:rPr>
        <w:t>,</w:t>
      </w:r>
      <w:r>
        <w:rPr>
          <w:color w:val="000000"/>
        </w:rPr>
        <w:t xml:space="preserve"> members of the </w:t>
      </w:r>
      <w:r w:rsidR="00E82FD6">
        <w:rPr>
          <w:color w:val="000000"/>
        </w:rPr>
        <w:t>Packler</w:t>
      </w:r>
      <w:r>
        <w:rPr>
          <w:color w:val="000000"/>
        </w:rPr>
        <w:t xml:space="preserve"> family served as directors of </w:t>
      </w:r>
      <w:r w:rsidR="006239B5">
        <w:rPr>
          <w:color w:val="000000"/>
        </w:rPr>
        <w:t>Oxy</w:t>
      </w:r>
      <w:r>
        <w:rPr>
          <w:color w:val="000000"/>
        </w:rPr>
        <w:t xml:space="preserve">; the last </w:t>
      </w:r>
      <w:r w:rsidR="00E82FD6">
        <w:rPr>
          <w:color w:val="000000"/>
        </w:rPr>
        <w:t>Packler</w:t>
      </w:r>
      <w:r w:rsidR="008B54D4">
        <w:rPr>
          <w:color w:val="000000"/>
        </w:rPr>
        <w:t>’</w:t>
      </w:r>
      <w:r>
        <w:rPr>
          <w:color w:val="000000"/>
        </w:rPr>
        <w:t>s resignation from the Board became effective in the beginning of that year</w:t>
      </w:r>
      <w:r w:rsidR="008B54D4">
        <w:rPr>
          <w:color w:val="000000"/>
        </w:rPr>
        <w:t>,</w:t>
      </w:r>
      <w:r>
        <w:rPr>
          <w:color w:val="000000"/>
        </w:rPr>
        <w:t xml:space="preserve"> although many family members stepped down during 201</w:t>
      </w:r>
      <w:r w:rsidR="003A3B70">
        <w:rPr>
          <w:color w:val="000000"/>
        </w:rPr>
        <w:t>7</w:t>
      </w:r>
      <w:r>
        <w:rPr>
          <w:color w:val="000000"/>
        </w:rPr>
        <w:t>.</w:t>
      </w:r>
    </w:p>
    <w:p w14:paraId="14BEF3A8" w14:textId="45E34EC7" w:rsidR="00A77BBD" w:rsidRDefault="00A77BBD" w:rsidP="00EB576B">
      <w:pPr>
        <w:pStyle w:val="Heading2"/>
      </w:pPr>
      <w:r>
        <w:t xml:space="preserve">The </w:t>
      </w:r>
      <w:r w:rsidR="00E82FD6">
        <w:t>Packler</w:t>
      </w:r>
      <w:r>
        <w:t xml:space="preserve"> Family</w:t>
      </w:r>
    </w:p>
    <w:p w14:paraId="7C96215C" w14:textId="6F9E9310" w:rsidR="00A77BBD" w:rsidRDefault="00A77BBD" w:rsidP="00A77BBD">
      <w:pPr>
        <w:pStyle w:val="BodyTextFirstIndent"/>
      </w:pPr>
      <w:r>
        <w:rPr>
          <w:color w:val="000000"/>
        </w:rPr>
        <w:t xml:space="preserve">Since </w:t>
      </w:r>
      <w:r w:rsidR="006239B5">
        <w:rPr>
          <w:color w:val="000000"/>
        </w:rPr>
        <w:t>Oxy</w:t>
      </w:r>
      <w:r>
        <w:rPr>
          <w:color w:val="000000"/>
        </w:rPr>
        <w:t xml:space="preserve"> was sold to</w:t>
      </w:r>
      <w:r w:rsidR="006E3B83">
        <w:rPr>
          <w:color w:val="000000"/>
        </w:rPr>
        <w:t xml:space="preserve"> the Packlers,</w:t>
      </w:r>
      <w:r>
        <w:rPr>
          <w:color w:val="000000"/>
        </w:rPr>
        <w:t xml:space="preserve"> the company has been closely held and closely run by members of the </w:t>
      </w:r>
      <w:r w:rsidR="00E82FD6">
        <w:rPr>
          <w:color w:val="000000"/>
        </w:rPr>
        <w:t>Packler</w:t>
      </w:r>
      <w:r>
        <w:rPr>
          <w:color w:val="000000"/>
        </w:rPr>
        <w:t xml:space="preserve"> family</w:t>
      </w:r>
      <w:r w:rsidR="008B54D4">
        <w:rPr>
          <w:color w:val="000000"/>
        </w:rPr>
        <w:t>,</w:t>
      </w:r>
      <w:r>
        <w:rPr>
          <w:color w:val="000000"/>
        </w:rPr>
        <w:t xml:space="preserve"> many of whom took on an active role in the company comparable to that of senior management prior to 2018</w:t>
      </w:r>
      <w:r w:rsidR="006A227C">
        <w:rPr>
          <w:color w:val="000000"/>
        </w:rPr>
        <w:t xml:space="preserve">.  </w:t>
      </w:r>
      <w:r>
        <w:rPr>
          <w:color w:val="000000"/>
        </w:rPr>
        <w:t>In large part due to the success of their pharmaceutical business</w:t>
      </w:r>
      <w:r w:rsidR="008B54D4">
        <w:rPr>
          <w:color w:val="000000"/>
        </w:rPr>
        <w:t>,</w:t>
      </w:r>
      <w:r>
        <w:rPr>
          <w:color w:val="000000"/>
        </w:rPr>
        <w:t xml:space="preserve"> the </w:t>
      </w:r>
      <w:r w:rsidR="00E82FD6">
        <w:rPr>
          <w:color w:val="000000"/>
        </w:rPr>
        <w:t>Packler</w:t>
      </w:r>
      <w:r>
        <w:rPr>
          <w:color w:val="000000"/>
        </w:rPr>
        <w:t xml:space="preserve"> family have long been ranked on Forbes</w:t>
      </w:r>
      <w:r w:rsidR="008B54D4">
        <w:rPr>
          <w:color w:val="000000"/>
        </w:rPr>
        <w:t>’</w:t>
      </w:r>
      <w:r>
        <w:rPr>
          <w:color w:val="000000"/>
        </w:rPr>
        <w:t xml:space="preserve"> list of America</w:t>
      </w:r>
      <w:r w:rsidR="008B54D4">
        <w:rPr>
          <w:color w:val="000000"/>
        </w:rPr>
        <w:t>’</w:t>
      </w:r>
      <w:r>
        <w:rPr>
          <w:color w:val="000000"/>
        </w:rPr>
        <w:t>s Richest Families</w:t>
      </w:r>
      <w:r w:rsidR="008B54D4">
        <w:rPr>
          <w:color w:val="000000"/>
        </w:rPr>
        <w:t>,</w:t>
      </w:r>
      <w:r>
        <w:rPr>
          <w:color w:val="000000"/>
        </w:rPr>
        <w:t xml:space="preserve"> with a reported net worth of $1</w:t>
      </w:r>
      <w:r w:rsidR="006E3B83">
        <w:rPr>
          <w:color w:val="000000"/>
        </w:rPr>
        <w:t>2</w:t>
      </w:r>
      <w:r>
        <w:rPr>
          <w:color w:val="000000"/>
        </w:rPr>
        <w:t xml:space="preserve"> billion dollars</w:t>
      </w:r>
      <w:r w:rsidR="006A227C">
        <w:rPr>
          <w:color w:val="000000"/>
        </w:rPr>
        <w:t xml:space="preserve">.  </w:t>
      </w:r>
    </w:p>
    <w:p w14:paraId="268AC281" w14:textId="236B2AD2" w:rsidR="00A77BBD" w:rsidRDefault="006E3B83" w:rsidP="00A77BBD">
      <w:pPr>
        <w:pStyle w:val="BodyTextFirstIndent"/>
      </w:pPr>
      <w:r>
        <w:rPr>
          <w:color w:val="000000"/>
        </w:rPr>
        <w:t>Fred</w:t>
      </w:r>
      <w:r w:rsidR="00A77BBD">
        <w:rPr>
          <w:color w:val="000000"/>
        </w:rPr>
        <w:t xml:space="preserve"> </w:t>
      </w:r>
      <w:r w:rsidR="00E82FD6">
        <w:rPr>
          <w:color w:val="000000"/>
        </w:rPr>
        <w:t>Packler</w:t>
      </w:r>
      <w:r w:rsidR="008B54D4">
        <w:rPr>
          <w:color w:val="000000"/>
        </w:rPr>
        <w:t>’</w:t>
      </w:r>
      <w:r w:rsidR="00A77BBD">
        <w:rPr>
          <w:color w:val="000000"/>
        </w:rPr>
        <w:t>s side of the family is known as “Side A</w:t>
      </w:r>
      <w:r w:rsidR="008B54D4">
        <w:rPr>
          <w:color w:val="000000"/>
        </w:rPr>
        <w:t>,</w:t>
      </w:r>
      <w:r w:rsidR="00A77BBD">
        <w:rPr>
          <w:color w:val="000000"/>
        </w:rPr>
        <w:t xml:space="preserve">” and </w:t>
      </w:r>
      <w:r>
        <w:rPr>
          <w:color w:val="000000"/>
        </w:rPr>
        <w:t>Joe</w:t>
      </w:r>
      <w:r w:rsidR="00A77BBD">
        <w:rPr>
          <w:color w:val="000000"/>
        </w:rPr>
        <w:t xml:space="preserve"> </w:t>
      </w:r>
      <w:r w:rsidR="00E82FD6">
        <w:rPr>
          <w:color w:val="000000"/>
        </w:rPr>
        <w:t>Packler</w:t>
      </w:r>
      <w:r w:rsidR="008B54D4">
        <w:rPr>
          <w:color w:val="000000"/>
        </w:rPr>
        <w:t>’</w:t>
      </w:r>
      <w:r w:rsidR="00A77BBD">
        <w:rPr>
          <w:color w:val="000000"/>
        </w:rPr>
        <w:t>s side is known as “Side B</w:t>
      </w:r>
      <w:r>
        <w:rPr>
          <w:color w:val="000000"/>
        </w:rPr>
        <w:t xml:space="preserve">.” </w:t>
      </w:r>
      <w:r w:rsidR="00A77BBD">
        <w:rPr>
          <w:color w:val="000000"/>
        </w:rPr>
        <w:t>From approximately 1993 until 2018</w:t>
      </w:r>
      <w:r w:rsidR="008B54D4">
        <w:rPr>
          <w:color w:val="000000"/>
        </w:rPr>
        <w:t>,</w:t>
      </w:r>
      <w:r w:rsidR="00A77BBD">
        <w:rPr>
          <w:color w:val="000000"/>
        </w:rPr>
        <w:t xml:space="preserve"> there were always at least six or seven members of the </w:t>
      </w:r>
      <w:r w:rsidR="00E82FD6">
        <w:rPr>
          <w:color w:val="000000"/>
        </w:rPr>
        <w:t>Packler</w:t>
      </w:r>
      <w:r w:rsidR="00A77BBD">
        <w:rPr>
          <w:color w:val="000000"/>
        </w:rPr>
        <w:t xml:space="preserve"> family on the Board; independent directors never equaled or outnumbered the number of </w:t>
      </w:r>
      <w:r w:rsidR="00E82FD6">
        <w:rPr>
          <w:color w:val="000000"/>
        </w:rPr>
        <w:t>Packler</w:t>
      </w:r>
      <w:r w:rsidR="00A77BBD">
        <w:rPr>
          <w:color w:val="000000"/>
        </w:rPr>
        <w:t xml:space="preserve"> family directors on the Board</w:t>
      </w:r>
      <w:r>
        <w:rPr>
          <w:color w:val="000000"/>
        </w:rPr>
        <w:t>.</w:t>
      </w:r>
    </w:p>
    <w:p w14:paraId="2DADE084" w14:textId="789ED32B" w:rsidR="00A77BBD" w:rsidRDefault="00A77BBD" w:rsidP="00A77BBD">
      <w:pPr>
        <w:pStyle w:val="BodyTextFirstIndent"/>
      </w:pPr>
      <w:r>
        <w:rPr>
          <w:color w:val="000000"/>
        </w:rPr>
        <w:t xml:space="preserve">In addition to </w:t>
      </w:r>
      <w:r w:rsidR="006239B5">
        <w:rPr>
          <w:color w:val="000000"/>
        </w:rPr>
        <w:t>Oxy</w:t>
      </w:r>
      <w:r w:rsidR="008B54D4">
        <w:rPr>
          <w:color w:val="000000"/>
        </w:rPr>
        <w:t>,</w:t>
      </w:r>
      <w:r>
        <w:rPr>
          <w:color w:val="000000"/>
        </w:rPr>
        <w:t xml:space="preserve"> certain members of the </w:t>
      </w:r>
      <w:r w:rsidR="00E82FD6">
        <w:rPr>
          <w:color w:val="000000"/>
        </w:rPr>
        <w:t>Packler</w:t>
      </w:r>
      <w:r>
        <w:rPr>
          <w:color w:val="000000"/>
        </w:rPr>
        <w:t xml:space="preserve"> family served as directors of an advisory board for IACs worldwide</w:t>
      </w:r>
      <w:r w:rsidR="008B54D4">
        <w:rPr>
          <w:color w:val="000000"/>
        </w:rPr>
        <w:t>,</w:t>
      </w:r>
      <w:r>
        <w:rPr>
          <w:color w:val="000000"/>
        </w:rPr>
        <w:t xml:space="preserve"> including for “specific pharmaceutical manufacturer IACs” and “corporations throughout the world that [the </w:t>
      </w:r>
      <w:r w:rsidR="00E82FD6">
        <w:rPr>
          <w:color w:val="000000"/>
        </w:rPr>
        <w:t>Packler</w:t>
      </w:r>
      <w:r>
        <w:rPr>
          <w:color w:val="000000"/>
        </w:rPr>
        <w:t xml:space="preserve">] family owns and that are in the </w:t>
      </w:r>
      <w:r w:rsidR="00110F91">
        <w:rPr>
          <w:color w:val="000000"/>
        </w:rPr>
        <w:t xml:space="preserve">. . . </w:t>
      </w:r>
      <w:r>
        <w:rPr>
          <w:color w:val="000000"/>
        </w:rPr>
        <w:t>pharmaceutical business.”</w:t>
      </w:r>
      <w:r w:rsidR="002E3DAF">
        <w:rPr>
          <w:color w:val="000000"/>
        </w:rPr>
        <w:t xml:space="preserve"> </w:t>
      </w:r>
      <w:r>
        <w:rPr>
          <w:color w:val="000000"/>
        </w:rPr>
        <w:t xml:space="preserve"> </w:t>
      </w:r>
      <w:r w:rsidR="006E3B83">
        <w:rPr>
          <w:color w:val="000000"/>
        </w:rPr>
        <w:t>Packler</w:t>
      </w:r>
      <w:r w:rsidR="00931C57">
        <w:rPr>
          <w:color w:val="000000"/>
        </w:rPr>
        <w:t xml:space="preserve"> </w:t>
      </w:r>
      <w:r>
        <w:rPr>
          <w:color w:val="000000"/>
        </w:rPr>
        <w:t>recommendations were typically followed by the IACs</w:t>
      </w:r>
      <w:r w:rsidR="006A227C">
        <w:rPr>
          <w:color w:val="000000"/>
        </w:rPr>
        <w:t xml:space="preserve">.  </w:t>
      </w:r>
    </w:p>
    <w:p w14:paraId="028AE194" w14:textId="4F599386" w:rsidR="00A77BBD" w:rsidRDefault="00A77BBD" w:rsidP="005C3F70">
      <w:pPr>
        <w:pStyle w:val="Heading3"/>
      </w:pPr>
      <w:r>
        <w:t>Side A</w:t>
      </w:r>
    </w:p>
    <w:p w14:paraId="24FC9208" w14:textId="47AEF5D6" w:rsidR="00A77BBD" w:rsidRDefault="006E3B83" w:rsidP="00A77BBD">
      <w:pPr>
        <w:pStyle w:val="BodyTextFirstIndent"/>
      </w:pPr>
      <w:r>
        <w:rPr>
          <w:color w:val="000000"/>
        </w:rPr>
        <w:t>Fred</w:t>
      </w:r>
      <w:r w:rsidR="00A77BBD">
        <w:rPr>
          <w:color w:val="000000"/>
        </w:rPr>
        <w:t xml:space="preserve"> D</w:t>
      </w:r>
      <w:r w:rsidR="006A227C">
        <w:rPr>
          <w:color w:val="000000"/>
        </w:rPr>
        <w:t xml:space="preserve">. </w:t>
      </w:r>
      <w:r w:rsidR="00E82FD6">
        <w:rPr>
          <w:color w:val="000000"/>
        </w:rPr>
        <w:t>Packler</w:t>
      </w:r>
      <w:r w:rsidR="008B54D4">
        <w:rPr>
          <w:color w:val="000000"/>
        </w:rPr>
        <w:t>,</w:t>
      </w:r>
      <w:r w:rsidR="00A77BBD">
        <w:rPr>
          <w:color w:val="000000"/>
        </w:rPr>
        <w:t xml:space="preserve"> who died in 2010</w:t>
      </w:r>
      <w:r w:rsidR="008B54D4">
        <w:rPr>
          <w:color w:val="000000"/>
        </w:rPr>
        <w:t>,</w:t>
      </w:r>
      <w:r w:rsidR="00A77BBD">
        <w:rPr>
          <w:color w:val="000000"/>
        </w:rPr>
        <w:t xml:space="preserve"> served as the co-chief executive officer of </w:t>
      </w:r>
      <w:r w:rsidR="006239B5">
        <w:rPr>
          <w:color w:val="000000"/>
        </w:rPr>
        <w:t>Oxy</w:t>
      </w:r>
      <w:r w:rsidR="00A77BBD">
        <w:rPr>
          <w:color w:val="000000"/>
        </w:rPr>
        <w:t xml:space="preserve"> with his brother </w:t>
      </w:r>
      <w:r>
        <w:rPr>
          <w:color w:val="000000"/>
        </w:rPr>
        <w:t>Joe</w:t>
      </w:r>
      <w:r w:rsidR="00A77BBD">
        <w:rPr>
          <w:color w:val="000000"/>
        </w:rPr>
        <w:t xml:space="preserve"> until the end of his life</w:t>
      </w:r>
      <w:r w:rsidR="006A227C">
        <w:rPr>
          <w:color w:val="000000"/>
        </w:rPr>
        <w:t xml:space="preserve">.  </w:t>
      </w:r>
    </w:p>
    <w:p w14:paraId="087AF748" w14:textId="00181575" w:rsidR="00A77BBD" w:rsidRDefault="00A77BBD" w:rsidP="00A77BBD">
      <w:pPr>
        <w:pStyle w:val="BodyTextFirstIndent"/>
      </w:pPr>
      <w:r>
        <w:rPr>
          <w:color w:val="000000"/>
        </w:rPr>
        <w:t xml:space="preserve">Three of his seven children </w:t>
      </w:r>
      <w:r w:rsidR="006E3B83">
        <w:rPr>
          <w:color w:val="000000"/>
        </w:rPr>
        <w:t>–</w:t>
      </w:r>
      <w:r>
        <w:rPr>
          <w:color w:val="000000"/>
        </w:rPr>
        <w:t xml:space="preserve"> </w:t>
      </w:r>
      <w:r w:rsidR="006E3B83">
        <w:rPr>
          <w:color w:val="000000"/>
        </w:rPr>
        <w:t>I</w:t>
      </w:r>
      <w:r w:rsidR="003B7D4B">
        <w:rPr>
          <w:color w:val="000000"/>
        </w:rPr>
        <w:t>da Litigant</w:t>
      </w:r>
      <w:r w:rsidR="008B54D4">
        <w:rPr>
          <w:color w:val="000000"/>
        </w:rPr>
        <w:t>,</w:t>
      </w:r>
      <w:r>
        <w:rPr>
          <w:color w:val="000000"/>
        </w:rPr>
        <w:t xml:space="preserve"> </w:t>
      </w:r>
      <w:r w:rsidR="003B7D4B">
        <w:rPr>
          <w:color w:val="000000"/>
        </w:rPr>
        <w:t>C</w:t>
      </w:r>
      <w:r>
        <w:rPr>
          <w:color w:val="000000"/>
        </w:rPr>
        <w:t>ath</w:t>
      </w:r>
      <w:r w:rsidR="003B7D4B">
        <w:rPr>
          <w:color w:val="000000"/>
        </w:rPr>
        <w:t>y</w:t>
      </w:r>
      <w:r>
        <w:rPr>
          <w:color w:val="000000"/>
        </w:rPr>
        <w:t xml:space="preserve"> </w:t>
      </w:r>
      <w:r w:rsidR="00E82FD6">
        <w:rPr>
          <w:color w:val="000000"/>
        </w:rPr>
        <w:t>Packler</w:t>
      </w:r>
      <w:r w:rsidR="008B54D4">
        <w:rPr>
          <w:color w:val="000000"/>
        </w:rPr>
        <w:t>,</w:t>
      </w:r>
      <w:r>
        <w:rPr>
          <w:color w:val="000000"/>
        </w:rPr>
        <w:t xml:space="preserve"> and </w:t>
      </w:r>
      <w:r w:rsidR="006E3B83">
        <w:rPr>
          <w:color w:val="000000"/>
        </w:rPr>
        <w:t>Fred</w:t>
      </w:r>
      <w:r>
        <w:rPr>
          <w:color w:val="000000"/>
        </w:rPr>
        <w:t xml:space="preserve"> David Alfons </w:t>
      </w:r>
      <w:r w:rsidR="00E82FD6">
        <w:rPr>
          <w:color w:val="000000"/>
        </w:rPr>
        <w:t>Packler</w:t>
      </w:r>
      <w:r>
        <w:rPr>
          <w:color w:val="000000"/>
        </w:rPr>
        <w:t xml:space="preserve"> (“</w:t>
      </w:r>
      <w:r w:rsidR="006E3B83">
        <w:rPr>
          <w:color w:val="000000"/>
        </w:rPr>
        <w:t>Fred</w:t>
      </w:r>
      <w:r>
        <w:rPr>
          <w:color w:val="000000"/>
        </w:rPr>
        <w:t xml:space="preserve"> D.A</w:t>
      </w:r>
      <w:r w:rsidR="006A227C">
        <w:rPr>
          <w:color w:val="000000"/>
        </w:rPr>
        <w:t>.</w:t>
      </w:r>
      <w:r>
        <w:rPr>
          <w:color w:val="000000"/>
        </w:rPr>
        <w:t xml:space="preserve">”) - sat on the Board of </w:t>
      </w:r>
      <w:r w:rsidR="006239B5">
        <w:rPr>
          <w:color w:val="000000"/>
        </w:rPr>
        <w:t>Oxy</w:t>
      </w:r>
      <w:r>
        <w:rPr>
          <w:color w:val="000000"/>
        </w:rPr>
        <w:t xml:space="preserve"> for nearly 30 years</w:t>
      </w:r>
      <w:r w:rsidR="008B54D4">
        <w:rPr>
          <w:color w:val="000000"/>
        </w:rPr>
        <w:t>,</w:t>
      </w:r>
      <w:r>
        <w:rPr>
          <w:color w:val="000000"/>
        </w:rPr>
        <w:t xml:space="preserve"> until 2018</w:t>
      </w:r>
      <w:r w:rsidR="006A227C">
        <w:rPr>
          <w:color w:val="000000"/>
        </w:rPr>
        <w:t xml:space="preserve">.  </w:t>
      </w:r>
      <w:r>
        <w:rPr>
          <w:color w:val="000000"/>
        </w:rPr>
        <w:t xml:space="preserve">They also served as officers of </w:t>
      </w:r>
      <w:r w:rsidR="006239B5">
        <w:rPr>
          <w:color w:val="000000"/>
        </w:rPr>
        <w:t>Oxy</w:t>
      </w:r>
      <w:r w:rsidR="008B54D4">
        <w:rPr>
          <w:color w:val="000000"/>
        </w:rPr>
        <w:t>,</w:t>
      </w:r>
      <w:r>
        <w:rPr>
          <w:color w:val="000000"/>
        </w:rPr>
        <w:t xml:space="preserve"> with </w:t>
      </w:r>
      <w:r w:rsidR="006E3B83">
        <w:rPr>
          <w:color w:val="000000"/>
        </w:rPr>
        <w:t>Fred</w:t>
      </w:r>
      <w:r>
        <w:rPr>
          <w:color w:val="000000"/>
        </w:rPr>
        <w:t xml:space="preserve"> D.A</w:t>
      </w:r>
      <w:r w:rsidR="006A227C">
        <w:rPr>
          <w:color w:val="000000"/>
        </w:rPr>
        <w:t xml:space="preserve">. </w:t>
      </w:r>
      <w:r>
        <w:rPr>
          <w:color w:val="000000"/>
        </w:rPr>
        <w:t>and Ilene holding the title of vice president and Kathe the title of senior vice president</w:t>
      </w:r>
      <w:r w:rsidR="003B7D4B">
        <w:rPr>
          <w:color w:val="000000"/>
        </w:rPr>
        <w:t>.</w:t>
      </w:r>
    </w:p>
    <w:p w14:paraId="706D3C60" w14:textId="3E9A84C5" w:rsidR="00A77BBD" w:rsidRDefault="006E3B83" w:rsidP="00A77BBD">
      <w:pPr>
        <w:pStyle w:val="BodyTextFirstIndent"/>
      </w:pPr>
      <w:r>
        <w:rPr>
          <w:color w:val="000000"/>
        </w:rPr>
        <w:t>Fred</w:t>
      </w:r>
      <w:r w:rsidR="00A77BBD">
        <w:rPr>
          <w:color w:val="000000"/>
        </w:rPr>
        <w:t xml:space="preserve"> </w:t>
      </w:r>
      <w:r w:rsidR="00E82FD6">
        <w:rPr>
          <w:color w:val="000000"/>
        </w:rPr>
        <w:t>Packler</w:t>
      </w:r>
      <w:r w:rsidR="008B54D4">
        <w:rPr>
          <w:color w:val="000000"/>
        </w:rPr>
        <w:t>’</w:t>
      </w:r>
      <w:r w:rsidR="00A77BBD">
        <w:rPr>
          <w:color w:val="000000"/>
        </w:rPr>
        <w:t>s wife</w:t>
      </w:r>
      <w:r w:rsidR="00CC4B2D">
        <w:rPr>
          <w:color w:val="000000"/>
        </w:rPr>
        <w:t>,</w:t>
      </w:r>
      <w:r w:rsidR="00A77BBD">
        <w:rPr>
          <w:color w:val="000000"/>
        </w:rPr>
        <w:t xml:space="preserve"> T</w:t>
      </w:r>
      <w:r w:rsidR="003B7D4B">
        <w:rPr>
          <w:color w:val="000000"/>
        </w:rPr>
        <w:t xml:space="preserve">essa </w:t>
      </w:r>
      <w:r w:rsidR="00E82FD6">
        <w:rPr>
          <w:color w:val="000000"/>
        </w:rPr>
        <w:t>Packler</w:t>
      </w:r>
      <w:r w:rsidR="00CC4B2D">
        <w:rPr>
          <w:color w:val="000000"/>
        </w:rPr>
        <w:t>,</w:t>
      </w:r>
      <w:r w:rsidR="00A77BBD">
        <w:rPr>
          <w:color w:val="000000"/>
        </w:rPr>
        <w:t xml:space="preserve"> also served on the Board of </w:t>
      </w:r>
      <w:r w:rsidR="006239B5">
        <w:rPr>
          <w:color w:val="000000"/>
        </w:rPr>
        <w:t>Oxy</w:t>
      </w:r>
      <w:r w:rsidR="00A77BBD">
        <w:rPr>
          <w:color w:val="000000"/>
        </w:rPr>
        <w:t xml:space="preserve"> from 1993 until 2018</w:t>
      </w:r>
      <w:r w:rsidR="008B54D4">
        <w:rPr>
          <w:color w:val="000000"/>
        </w:rPr>
        <w:t>,</w:t>
      </w:r>
      <w:r w:rsidR="00A77BBD">
        <w:rPr>
          <w:color w:val="000000"/>
        </w:rPr>
        <w:t xml:space="preserve"> explaining that her “husband asked me to join </w:t>
      </w:r>
      <w:r w:rsidR="00110F91">
        <w:rPr>
          <w:color w:val="000000"/>
        </w:rPr>
        <w:t xml:space="preserve">. . . </w:t>
      </w:r>
      <w:r w:rsidR="00A77BBD">
        <w:rPr>
          <w:color w:val="000000"/>
        </w:rPr>
        <w:t xml:space="preserve">it was a family company and he felt that family members should be on the board.” </w:t>
      </w:r>
    </w:p>
    <w:p w14:paraId="33044C9A" w14:textId="42F582B7" w:rsidR="00A77BBD" w:rsidRDefault="00A77BBD" w:rsidP="00A77BBD">
      <w:pPr>
        <w:pStyle w:val="BodyTextFirstIndent"/>
      </w:pPr>
      <w:r>
        <w:rPr>
          <w:color w:val="000000"/>
        </w:rPr>
        <w:t xml:space="preserve">All four </w:t>
      </w:r>
      <w:r w:rsidR="003B7D4B">
        <w:rPr>
          <w:color w:val="000000"/>
        </w:rPr>
        <w:t>–</w:t>
      </w:r>
      <w:r>
        <w:rPr>
          <w:color w:val="000000"/>
        </w:rPr>
        <w:t xml:space="preserve"> </w:t>
      </w:r>
      <w:r w:rsidR="003B7D4B">
        <w:rPr>
          <w:color w:val="000000"/>
        </w:rPr>
        <w:t>Ida,</w:t>
      </w:r>
      <w:r>
        <w:rPr>
          <w:color w:val="000000"/>
        </w:rPr>
        <w:t xml:space="preserve"> </w:t>
      </w:r>
      <w:r w:rsidR="003B7D4B">
        <w:rPr>
          <w:color w:val="000000"/>
        </w:rPr>
        <w:t>Cathy</w:t>
      </w:r>
      <w:r w:rsidR="008B54D4">
        <w:rPr>
          <w:color w:val="000000"/>
        </w:rPr>
        <w:t>,</w:t>
      </w:r>
      <w:r>
        <w:rPr>
          <w:color w:val="000000"/>
        </w:rPr>
        <w:t xml:space="preserve"> T</w:t>
      </w:r>
      <w:r w:rsidR="003B7D4B">
        <w:rPr>
          <w:color w:val="000000"/>
        </w:rPr>
        <w:t>ess</w:t>
      </w:r>
      <w:r>
        <w:rPr>
          <w:color w:val="000000"/>
        </w:rPr>
        <w:t>a</w:t>
      </w:r>
      <w:r w:rsidR="008B54D4">
        <w:rPr>
          <w:color w:val="000000"/>
        </w:rPr>
        <w:t>,</w:t>
      </w:r>
      <w:r>
        <w:rPr>
          <w:color w:val="000000"/>
        </w:rPr>
        <w:t xml:space="preserve"> and </w:t>
      </w:r>
      <w:r w:rsidR="006E3B83">
        <w:rPr>
          <w:color w:val="000000"/>
        </w:rPr>
        <w:t>Fred</w:t>
      </w:r>
      <w:r>
        <w:rPr>
          <w:color w:val="000000"/>
        </w:rPr>
        <w:t xml:space="preserve"> D.A</w:t>
      </w:r>
      <w:r w:rsidR="006A227C">
        <w:rPr>
          <w:color w:val="000000"/>
        </w:rPr>
        <w:t xml:space="preserve">.  </w:t>
      </w:r>
      <w:r w:rsidR="00E82FD6">
        <w:rPr>
          <w:color w:val="000000"/>
        </w:rPr>
        <w:t>Packler</w:t>
      </w:r>
      <w:r>
        <w:rPr>
          <w:color w:val="000000"/>
        </w:rPr>
        <w:t xml:space="preserve"> - served as directors on the board of </w:t>
      </w:r>
      <w:r w:rsidR="00CC4B2D">
        <w:rPr>
          <w:color w:val="000000"/>
        </w:rPr>
        <w:t>certain affiliated entities</w:t>
      </w:r>
      <w:r>
        <w:rPr>
          <w:color w:val="000000"/>
        </w:rPr>
        <w:t xml:space="preserve"> for many years</w:t>
      </w:r>
      <w:r w:rsidR="006A227C">
        <w:rPr>
          <w:color w:val="000000"/>
        </w:rPr>
        <w:t xml:space="preserve">.  </w:t>
      </w:r>
    </w:p>
    <w:p w14:paraId="46FB90E7" w14:textId="2D6FC3DA" w:rsidR="00A77BBD" w:rsidRDefault="00A77BBD" w:rsidP="005C3F70">
      <w:pPr>
        <w:pStyle w:val="Heading3"/>
      </w:pPr>
      <w:r>
        <w:t>Side B</w:t>
      </w:r>
    </w:p>
    <w:p w14:paraId="3BF2C968" w14:textId="5D37019E" w:rsidR="00A77BBD" w:rsidRDefault="006E3B83" w:rsidP="00A77BBD">
      <w:pPr>
        <w:pStyle w:val="BodyTextFirstIndent"/>
      </w:pPr>
      <w:r>
        <w:rPr>
          <w:color w:val="000000"/>
        </w:rPr>
        <w:t>Joe</w:t>
      </w:r>
      <w:r w:rsidR="00A77BBD">
        <w:rPr>
          <w:color w:val="000000"/>
        </w:rPr>
        <w:t xml:space="preserve"> </w:t>
      </w:r>
      <w:r w:rsidR="00E82FD6">
        <w:rPr>
          <w:color w:val="000000"/>
        </w:rPr>
        <w:t>Packler</w:t>
      </w:r>
      <w:r w:rsidR="008B54D4">
        <w:rPr>
          <w:color w:val="000000"/>
        </w:rPr>
        <w:t>,</w:t>
      </w:r>
      <w:r w:rsidR="00A77BBD">
        <w:rPr>
          <w:color w:val="000000"/>
        </w:rPr>
        <w:t xml:space="preserve"> who died in 2017</w:t>
      </w:r>
      <w:r w:rsidR="008B54D4">
        <w:rPr>
          <w:color w:val="000000"/>
        </w:rPr>
        <w:t>,</w:t>
      </w:r>
      <w:r w:rsidR="00A77BBD">
        <w:rPr>
          <w:color w:val="000000"/>
        </w:rPr>
        <w:t xml:space="preserve"> served as co-chief executive officer of </w:t>
      </w:r>
      <w:r w:rsidR="006239B5">
        <w:rPr>
          <w:color w:val="000000"/>
        </w:rPr>
        <w:t>Oxy</w:t>
      </w:r>
      <w:r w:rsidR="00A77BBD">
        <w:rPr>
          <w:color w:val="000000"/>
        </w:rPr>
        <w:t xml:space="preserve"> with his brother </w:t>
      </w:r>
      <w:r>
        <w:rPr>
          <w:color w:val="000000"/>
        </w:rPr>
        <w:t>Fred</w:t>
      </w:r>
      <w:r w:rsidR="00A77BBD">
        <w:rPr>
          <w:color w:val="000000"/>
        </w:rPr>
        <w:t xml:space="preserve"> D</w:t>
      </w:r>
      <w:r w:rsidR="006A227C">
        <w:rPr>
          <w:color w:val="000000"/>
        </w:rPr>
        <w:t xml:space="preserve">. </w:t>
      </w:r>
      <w:r w:rsidR="00E82FD6">
        <w:rPr>
          <w:color w:val="000000"/>
        </w:rPr>
        <w:t>Packler</w:t>
      </w:r>
      <w:r w:rsidR="006A227C">
        <w:rPr>
          <w:color w:val="000000"/>
        </w:rPr>
        <w:t xml:space="preserve">.  </w:t>
      </w:r>
    </w:p>
    <w:p w14:paraId="6C256C4D" w14:textId="008679ED" w:rsidR="00A77BBD" w:rsidRDefault="006E3B83" w:rsidP="00A77BBD">
      <w:pPr>
        <w:pStyle w:val="BodyTextFirstIndent"/>
      </w:pPr>
      <w:r>
        <w:rPr>
          <w:color w:val="000000"/>
        </w:rPr>
        <w:t>Joe</w:t>
      </w:r>
      <w:r w:rsidR="00A77BBD">
        <w:rPr>
          <w:color w:val="000000"/>
        </w:rPr>
        <w:t xml:space="preserve"> </w:t>
      </w:r>
      <w:r w:rsidR="00E82FD6">
        <w:rPr>
          <w:color w:val="000000"/>
        </w:rPr>
        <w:t>Packler</w:t>
      </w:r>
      <w:r w:rsidR="008B54D4">
        <w:rPr>
          <w:color w:val="000000"/>
        </w:rPr>
        <w:t>’</w:t>
      </w:r>
      <w:r w:rsidR="00A77BBD">
        <w:rPr>
          <w:color w:val="000000"/>
        </w:rPr>
        <w:t xml:space="preserve">s wife and two sons served as Board members of </w:t>
      </w:r>
      <w:r w:rsidR="006239B5">
        <w:rPr>
          <w:color w:val="000000"/>
        </w:rPr>
        <w:t>Oxy</w:t>
      </w:r>
      <w:r w:rsidR="006A227C">
        <w:rPr>
          <w:color w:val="000000"/>
        </w:rPr>
        <w:t xml:space="preserve">.  </w:t>
      </w:r>
      <w:r w:rsidR="00A77BBD">
        <w:rPr>
          <w:color w:val="000000"/>
        </w:rPr>
        <w:t>His sons</w:t>
      </w:r>
      <w:r w:rsidR="008B54D4">
        <w:rPr>
          <w:color w:val="000000"/>
        </w:rPr>
        <w:t>,</w:t>
      </w:r>
      <w:r w:rsidR="00A77BBD">
        <w:rPr>
          <w:color w:val="000000"/>
        </w:rPr>
        <w:t xml:space="preserve"> Jon and R</w:t>
      </w:r>
      <w:r w:rsidR="003B7D4B">
        <w:rPr>
          <w:color w:val="000000"/>
        </w:rPr>
        <w:t>on</w:t>
      </w:r>
      <w:r w:rsidR="00A77BBD">
        <w:rPr>
          <w:color w:val="000000"/>
        </w:rPr>
        <w:t xml:space="preserve"> </w:t>
      </w:r>
      <w:r w:rsidR="00E82FD6">
        <w:rPr>
          <w:color w:val="000000"/>
        </w:rPr>
        <w:t>Packler</w:t>
      </w:r>
      <w:r w:rsidR="008B54D4">
        <w:rPr>
          <w:color w:val="000000"/>
        </w:rPr>
        <w:t>,</w:t>
      </w:r>
      <w:r w:rsidR="00A77BBD">
        <w:rPr>
          <w:color w:val="000000"/>
        </w:rPr>
        <w:t xml:space="preserve"> served from 1990 until 2018</w:t>
      </w:r>
      <w:r w:rsidR="008B54D4">
        <w:rPr>
          <w:color w:val="000000"/>
        </w:rPr>
        <w:t>,</w:t>
      </w:r>
      <w:r w:rsidR="00A77BBD">
        <w:rPr>
          <w:color w:val="000000"/>
        </w:rPr>
        <w:t xml:space="preserve"> and his wife B</w:t>
      </w:r>
      <w:r w:rsidR="003B7D4B">
        <w:rPr>
          <w:color w:val="000000"/>
        </w:rPr>
        <w:t xml:space="preserve">etty </w:t>
      </w:r>
      <w:r w:rsidR="00E82FD6">
        <w:rPr>
          <w:color w:val="000000"/>
        </w:rPr>
        <w:t>Packler</w:t>
      </w:r>
      <w:r w:rsidR="007362D6">
        <w:rPr>
          <w:color w:val="000000"/>
        </w:rPr>
        <w:t>,</w:t>
      </w:r>
      <w:r w:rsidR="00A77BBD">
        <w:rPr>
          <w:color w:val="000000"/>
        </w:rPr>
        <w:t xml:space="preserve"> from approximately 1993 until 2017</w:t>
      </w:r>
      <w:r w:rsidR="006A227C">
        <w:rPr>
          <w:color w:val="000000"/>
        </w:rPr>
        <w:t xml:space="preserve">.  </w:t>
      </w:r>
    </w:p>
    <w:p w14:paraId="72B8B7C9" w14:textId="4C165804" w:rsidR="00A77BBD" w:rsidRDefault="00A77BBD" w:rsidP="00A77BBD">
      <w:pPr>
        <w:pStyle w:val="BodyTextFirstIndent"/>
      </w:pPr>
      <w:r>
        <w:rPr>
          <w:color w:val="000000"/>
        </w:rPr>
        <w:t>In addition to his role as director</w:t>
      </w:r>
      <w:r w:rsidR="008B54D4">
        <w:rPr>
          <w:color w:val="000000"/>
        </w:rPr>
        <w:t>,</w:t>
      </w:r>
      <w:r>
        <w:rPr>
          <w:color w:val="000000"/>
        </w:rPr>
        <w:t xml:space="preserve"> R</w:t>
      </w:r>
      <w:r w:rsidR="003B7D4B">
        <w:rPr>
          <w:color w:val="000000"/>
        </w:rPr>
        <w:t>on</w:t>
      </w:r>
      <w:r>
        <w:rPr>
          <w:color w:val="000000"/>
        </w:rPr>
        <w:t xml:space="preserve"> </w:t>
      </w:r>
      <w:r w:rsidR="00E82FD6">
        <w:rPr>
          <w:color w:val="000000"/>
        </w:rPr>
        <w:t>Packler</w:t>
      </w:r>
      <w:r>
        <w:rPr>
          <w:color w:val="000000"/>
        </w:rPr>
        <w:t xml:space="preserve"> also served as president of </w:t>
      </w:r>
      <w:r w:rsidR="006239B5">
        <w:rPr>
          <w:color w:val="000000"/>
        </w:rPr>
        <w:t>Oxy</w:t>
      </w:r>
      <w:r>
        <w:rPr>
          <w:color w:val="000000"/>
        </w:rPr>
        <w:t xml:space="preserve"> from 2000-2003</w:t>
      </w:r>
      <w:r w:rsidR="008B54D4">
        <w:rPr>
          <w:color w:val="000000"/>
        </w:rPr>
        <w:t>,</w:t>
      </w:r>
      <w:r>
        <w:rPr>
          <w:color w:val="000000"/>
        </w:rPr>
        <w:t xml:space="preserve"> co-chair of the Board from 2003-2007</w:t>
      </w:r>
      <w:r w:rsidR="008B54D4">
        <w:rPr>
          <w:color w:val="000000"/>
        </w:rPr>
        <w:t>,</w:t>
      </w:r>
      <w:r>
        <w:rPr>
          <w:color w:val="000000"/>
        </w:rPr>
        <w:t xml:space="preserve"> and chair of the Board from approximately 2008 until 2010 or 2011</w:t>
      </w:r>
      <w:r w:rsidR="006A227C">
        <w:rPr>
          <w:color w:val="000000"/>
        </w:rPr>
        <w:t xml:space="preserve">.  </w:t>
      </w:r>
      <w:r>
        <w:rPr>
          <w:color w:val="000000"/>
        </w:rPr>
        <w:t xml:space="preserve">He served as a director of </w:t>
      </w:r>
      <w:r w:rsidR="007362D6">
        <w:rPr>
          <w:color w:val="000000"/>
        </w:rPr>
        <w:t>certain affiliated entit</w:t>
      </w:r>
      <w:r w:rsidR="00931C57">
        <w:rPr>
          <w:color w:val="000000"/>
        </w:rPr>
        <w:t>i</w:t>
      </w:r>
      <w:r w:rsidR="007362D6">
        <w:rPr>
          <w:color w:val="000000"/>
        </w:rPr>
        <w:t>es</w:t>
      </w:r>
      <w:r>
        <w:rPr>
          <w:color w:val="000000"/>
        </w:rPr>
        <w:t xml:space="preserve"> until 2018 and has served as director of at least one IAC</w:t>
      </w:r>
      <w:r w:rsidR="006A227C">
        <w:rPr>
          <w:color w:val="000000"/>
        </w:rPr>
        <w:t xml:space="preserve">.  </w:t>
      </w:r>
    </w:p>
    <w:p w14:paraId="336F96ED" w14:textId="1EFDA33F" w:rsidR="00A77BBD" w:rsidRDefault="00A77BBD" w:rsidP="00A77BBD">
      <w:pPr>
        <w:pStyle w:val="BodyTextFirstIndent"/>
      </w:pPr>
      <w:r>
        <w:rPr>
          <w:color w:val="000000"/>
        </w:rPr>
        <w:t>R</w:t>
      </w:r>
      <w:r w:rsidR="003B7D4B">
        <w:rPr>
          <w:color w:val="000000"/>
        </w:rPr>
        <w:t>on</w:t>
      </w:r>
      <w:r>
        <w:rPr>
          <w:color w:val="000000"/>
        </w:rPr>
        <w:t xml:space="preserve"> </w:t>
      </w:r>
      <w:r w:rsidR="00E82FD6">
        <w:rPr>
          <w:color w:val="000000"/>
        </w:rPr>
        <w:t>Packler</w:t>
      </w:r>
      <w:r w:rsidR="008B54D4">
        <w:rPr>
          <w:color w:val="000000"/>
        </w:rPr>
        <w:t>’</w:t>
      </w:r>
      <w:r>
        <w:rPr>
          <w:color w:val="000000"/>
        </w:rPr>
        <w:t>s son D</w:t>
      </w:r>
      <w:r w:rsidR="003B7D4B">
        <w:rPr>
          <w:color w:val="000000"/>
        </w:rPr>
        <w:t>on</w:t>
      </w:r>
      <w:r>
        <w:rPr>
          <w:color w:val="000000"/>
        </w:rPr>
        <w:t xml:space="preserve"> Sacker also served on the Board from 2012 until 2018 and as a director of </w:t>
      </w:r>
      <w:r w:rsidR="007362D6">
        <w:rPr>
          <w:color w:val="000000"/>
        </w:rPr>
        <w:t>certain affiliated entities</w:t>
      </w:r>
      <w:r w:rsidR="006A227C">
        <w:rPr>
          <w:color w:val="000000"/>
        </w:rPr>
        <w:t xml:space="preserve">.  </w:t>
      </w:r>
    </w:p>
    <w:p w14:paraId="5AFDD425" w14:textId="00A61283" w:rsidR="00A77BBD" w:rsidRDefault="00A77BBD" w:rsidP="00A77BBD">
      <w:pPr>
        <w:pStyle w:val="BodyTextFirstIndent"/>
      </w:pPr>
      <w:r>
        <w:rPr>
          <w:color w:val="000000"/>
        </w:rPr>
        <w:t>Finally</w:t>
      </w:r>
      <w:r w:rsidR="008B54D4">
        <w:rPr>
          <w:color w:val="000000"/>
        </w:rPr>
        <w:t>,</w:t>
      </w:r>
      <w:r>
        <w:rPr>
          <w:color w:val="000000"/>
        </w:rPr>
        <w:t xml:space="preserve"> Mar</w:t>
      </w:r>
      <w:r w:rsidR="003B7D4B">
        <w:rPr>
          <w:color w:val="000000"/>
        </w:rPr>
        <w:t>y</w:t>
      </w:r>
      <w:r>
        <w:rPr>
          <w:color w:val="000000"/>
        </w:rPr>
        <w:t xml:space="preserve"> </w:t>
      </w:r>
      <w:r w:rsidR="00E82FD6">
        <w:rPr>
          <w:color w:val="000000"/>
        </w:rPr>
        <w:t>Packler</w:t>
      </w:r>
      <w:r w:rsidR="008B54D4">
        <w:rPr>
          <w:color w:val="000000"/>
        </w:rPr>
        <w:t>,</w:t>
      </w:r>
      <w:r>
        <w:rPr>
          <w:color w:val="000000"/>
        </w:rPr>
        <w:t xml:space="preserve"> R</w:t>
      </w:r>
      <w:r w:rsidR="003B7D4B">
        <w:rPr>
          <w:color w:val="000000"/>
        </w:rPr>
        <w:t>on</w:t>
      </w:r>
      <w:r>
        <w:rPr>
          <w:color w:val="000000"/>
        </w:rPr>
        <w:t xml:space="preserve"> </w:t>
      </w:r>
      <w:r w:rsidR="00E82FD6">
        <w:rPr>
          <w:color w:val="000000"/>
        </w:rPr>
        <w:t>Packler</w:t>
      </w:r>
      <w:r w:rsidR="008B54D4">
        <w:rPr>
          <w:color w:val="000000"/>
        </w:rPr>
        <w:t>’</w:t>
      </w:r>
      <w:r>
        <w:rPr>
          <w:color w:val="000000"/>
        </w:rPr>
        <w:t>s daughter</w:t>
      </w:r>
      <w:r w:rsidR="008B54D4">
        <w:rPr>
          <w:color w:val="000000"/>
        </w:rPr>
        <w:t>,</w:t>
      </w:r>
      <w:r>
        <w:rPr>
          <w:color w:val="000000"/>
        </w:rPr>
        <w:t xml:space="preserve"> held several roles within the “family business”</w:t>
      </w:r>
      <w:r w:rsidR="003B7D4B">
        <w:rPr>
          <w:color w:val="000000"/>
        </w:rPr>
        <w:t xml:space="preserve">, </w:t>
      </w:r>
      <w:r>
        <w:rPr>
          <w:color w:val="000000"/>
        </w:rPr>
        <w:t xml:space="preserve">including working as a consultant in the “research and development department” of </w:t>
      </w:r>
      <w:r w:rsidR="006239B5">
        <w:rPr>
          <w:color w:val="000000"/>
        </w:rPr>
        <w:t>Oxy</w:t>
      </w:r>
      <w:r>
        <w:rPr>
          <w:color w:val="000000"/>
        </w:rPr>
        <w:t xml:space="preserve"> on </w:t>
      </w:r>
      <w:r w:rsidR="00E82FD6">
        <w:rPr>
          <w:color w:val="000000"/>
        </w:rPr>
        <w:t>Oxy</w:t>
      </w:r>
      <w:r>
        <w:rPr>
          <w:color w:val="000000"/>
        </w:rPr>
        <w:t xml:space="preserve"> projects and a “PR” role at Mundipharma Italy</w:t>
      </w:r>
      <w:r w:rsidR="008B54D4">
        <w:rPr>
          <w:color w:val="000000"/>
        </w:rPr>
        <w:t>,</w:t>
      </w:r>
      <w:r>
        <w:rPr>
          <w:color w:val="000000"/>
        </w:rPr>
        <w:t xml:space="preserve"> an IAC</w:t>
      </w:r>
      <w:r w:rsidR="008B54D4">
        <w:rPr>
          <w:color w:val="000000"/>
        </w:rPr>
        <w:t>,</w:t>
      </w:r>
      <w:r>
        <w:rPr>
          <w:color w:val="000000"/>
        </w:rPr>
        <w:t xml:space="preserve"> advancing “information around topics about pain in Italy” and “marketing and selling </w:t>
      </w:r>
      <w:r w:rsidR="00E82FD6">
        <w:rPr>
          <w:color w:val="000000"/>
        </w:rPr>
        <w:t>Oxy</w:t>
      </w:r>
      <w:r w:rsidR="00931C57">
        <w:rPr>
          <w:color w:val="000000"/>
        </w:rPr>
        <w:t>con</w:t>
      </w:r>
      <w:r>
        <w:rPr>
          <w:color w:val="000000"/>
        </w:rPr>
        <w:t>” there</w:t>
      </w:r>
      <w:r w:rsidR="006A227C">
        <w:rPr>
          <w:color w:val="000000"/>
        </w:rPr>
        <w:t xml:space="preserve">.  </w:t>
      </w:r>
      <w:r>
        <w:rPr>
          <w:color w:val="000000"/>
        </w:rPr>
        <w:t>Mar</w:t>
      </w:r>
      <w:r w:rsidR="003B7D4B">
        <w:rPr>
          <w:color w:val="000000"/>
        </w:rPr>
        <w:t>y</w:t>
      </w:r>
      <w:r>
        <w:rPr>
          <w:color w:val="000000"/>
        </w:rPr>
        <w:t xml:space="preserve"> has never been an officer or director of </w:t>
      </w:r>
      <w:r w:rsidR="006239B5">
        <w:rPr>
          <w:color w:val="000000"/>
        </w:rPr>
        <w:t>Oxy</w:t>
      </w:r>
      <w:r>
        <w:rPr>
          <w:color w:val="000000"/>
        </w:rPr>
        <w:t>.</w:t>
      </w:r>
    </w:p>
    <w:p w14:paraId="56C0654F" w14:textId="324A9012" w:rsidR="00A77BBD" w:rsidRDefault="00E82FD6" w:rsidP="00AA41C2">
      <w:pPr>
        <w:pStyle w:val="Heading2"/>
      </w:pPr>
      <w:r>
        <w:t>Oxy</w:t>
      </w:r>
      <w:r w:rsidR="00640A7D">
        <w:t>con</w:t>
      </w:r>
    </w:p>
    <w:p w14:paraId="2DFB67AF" w14:textId="01E444DE" w:rsidR="00A77BBD" w:rsidRDefault="00E82FD6" w:rsidP="00A77BBD">
      <w:pPr>
        <w:pStyle w:val="BodyTextFirstIndent"/>
      </w:pPr>
      <w:r>
        <w:rPr>
          <w:color w:val="000000"/>
        </w:rPr>
        <w:t>Oxy</w:t>
      </w:r>
      <w:r w:rsidR="00640A7D">
        <w:rPr>
          <w:color w:val="000000"/>
        </w:rPr>
        <w:t>con</w:t>
      </w:r>
      <w:r w:rsidR="00A77BBD">
        <w:rPr>
          <w:color w:val="000000"/>
        </w:rPr>
        <w:t xml:space="preserve"> is a synthetic opioid analgesic - a powerful narcotic substance designed to relieve pain</w:t>
      </w:r>
      <w:r w:rsidR="006A227C">
        <w:rPr>
          <w:color w:val="000000"/>
        </w:rPr>
        <w:t xml:space="preserve">.  </w:t>
      </w:r>
      <w:r w:rsidR="00A77BBD">
        <w:rPr>
          <w:color w:val="000000"/>
        </w:rPr>
        <w:t>Opioid analgesics have been available for several decades to treat moderate to severe pain</w:t>
      </w:r>
      <w:r w:rsidR="006A227C">
        <w:rPr>
          <w:color w:val="000000"/>
        </w:rPr>
        <w:t xml:space="preserve">.  </w:t>
      </w:r>
      <w:r w:rsidR="00A77BBD">
        <w:rPr>
          <w:color w:val="000000"/>
        </w:rPr>
        <w:t>But until the early 1980</w:t>
      </w:r>
      <w:r w:rsidR="008B54D4">
        <w:rPr>
          <w:color w:val="000000"/>
        </w:rPr>
        <w:t>’</w:t>
      </w:r>
      <w:r w:rsidR="00A77BBD">
        <w:rPr>
          <w:color w:val="000000"/>
        </w:rPr>
        <w:t>s they were limited to immediate-release dosage forms</w:t>
      </w:r>
      <w:r w:rsidR="006A227C">
        <w:rPr>
          <w:color w:val="000000"/>
        </w:rPr>
        <w:t xml:space="preserve">.  </w:t>
      </w:r>
      <w:r w:rsidR="00A77BBD">
        <w:rPr>
          <w:color w:val="000000"/>
        </w:rPr>
        <w:t>Immediate-release pain killers are less than ideal because they control pain for only 4-6 hours at a time; by contrast</w:t>
      </w:r>
      <w:r w:rsidR="008B54D4">
        <w:rPr>
          <w:color w:val="000000"/>
        </w:rPr>
        <w:t>,</w:t>
      </w:r>
      <w:r w:rsidR="00A77BBD">
        <w:rPr>
          <w:color w:val="000000"/>
        </w:rPr>
        <w:t xml:space="preserve"> a controlled-release pain killer can provide relief from serious pain for up to 12 hours at a time</w:t>
      </w:r>
      <w:r w:rsidR="006A227C">
        <w:rPr>
          <w:color w:val="000000"/>
        </w:rPr>
        <w:t xml:space="preserve">.  </w:t>
      </w:r>
    </w:p>
    <w:p w14:paraId="51BAEF42" w14:textId="0859E9AC" w:rsidR="00A77BBD" w:rsidRDefault="00A77BBD" w:rsidP="00A77BBD">
      <w:pPr>
        <w:pStyle w:val="BodyTextFirstIndent"/>
      </w:pPr>
      <w:r>
        <w:rPr>
          <w:color w:val="000000"/>
        </w:rPr>
        <w:t>In the early 1980</w:t>
      </w:r>
      <w:r w:rsidR="008B54D4">
        <w:rPr>
          <w:color w:val="000000"/>
        </w:rPr>
        <w:t>’</w:t>
      </w:r>
      <w:r>
        <w:rPr>
          <w:color w:val="000000"/>
        </w:rPr>
        <w:t>s</w:t>
      </w:r>
      <w:r w:rsidR="008B54D4">
        <w:rPr>
          <w:color w:val="000000"/>
        </w:rPr>
        <w:t>,</w:t>
      </w:r>
      <w:r>
        <w:rPr>
          <w:color w:val="000000"/>
        </w:rPr>
        <w:t xml:space="preserve"> </w:t>
      </w:r>
      <w:r w:rsidR="006239B5">
        <w:rPr>
          <w:color w:val="000000"/>
        </w:rPr>
        <w:t>Oxy</w:t>
      </w:r>
      <w:r>
        <w:rPr>
          <w:color w:val="000000"/>
        </w:rPr>
        <w:t xml:space="preserve"> developed its first controlled-release morphine drug which it marketed as “MS C</w:t>
      </w:r>
      <w:r w:rsidR="003B7D4B">
        <w:rPr>
          <w:color w:val="000000"/>
        </w:rPr>
        <w:t>a</w:t>
      </w:r>
      <w:r>
        <w:rPr>
          <w:color w:val="000000"/>
        </w:rPr>
        <w:t>ntin” (also called “MSC</w:t>
      </w:r>
      <w:r w:rsidR="003B7D4B">
        <w:rPr>
          <w:color w:val="000000"/>
        </w:rPr>
        <w:t>a</w:t>
      </w:r>
      <w:r>
        <w:rPr>
          <w:color w:val="000000"/>
        </w:rPr>
        <w:t>ntin” and “MS-C</w:t>
      </w:r>
      <w:r w:rsidR="003B7D4B">
        <w:rPr>
          <w:color w:val="000000"/>
        </w:rPr>
        <w:t>a</w:t>
      </w:r>
      <w:r>
        <w:rPr>
          <w:color w:val="000000"/>
        </w:rPr>
        <w:t>ntin”)</w:t>
      </w:r>
      <w:r w:rsidR="006A227C">
        <w:rPr>
          <w:color w:val="000000"/>
        </w:rPr>
        <w:t xml:space="preserve">.  </w:t>
      </w:r>
      <w:r>
        <w:rPr>
          <w:color w:val="000000"/>
        </w:rPr>
        <w:t xml:space="preserve">MS </w:t>
      </w:r>
      <w:r w:rsidR="003B7D4B">
        <w:rPr>
          <w:color w:val="000000"/>
        </w:rPr>
        <w:t>Cantin</w:t>
      </w:r>
      <w:r>
        <w:rPr>
          <w:color w:val="000000"/>
        </w:rPr>
        <w:t xml:space="preserve"> solved many of the difficulties associated with immediate- release opioids</w:t>
      </w:r>
      <w:r w:rsidR="008B54D4">
        <w:rPr>
          <w:color w:val="000000"/>
        </w:rPr>
        <w:t>,</w:t>
      </w:r>
      <w:r>
        <w:rPr>
          <w:color w:val="000000"/>
        </w:rPr>
        <w:t xml:space="preserve"> and it was marketed</w:t>
      </w:r>
      <w:r w:rsidR="008B54D4">
        <w:rPr>
          <w:color w:val="000000"/>
        </w:rPr>
        <w:t>,</w:t>
      </w:r>
      <w:r>
        <w:rPr>
          <w:color w:val="000000"/>
        </w:rPr>
        <w:t xml:space="preserve"> largely without abuse</w:t>
      </w:r>
      <w:r w:rsidR="008B54D4">
        <w:rPr>
          <w:color w:val="000000"/>
        </w:rPr>
        <w:t>,</w:t>
      </w:r>
      <w:r>
        <w:rPr>
          <w:color w:val="000000"/>
        </w:rPr>
        <w:t xml:space="preserve"> throughout the 1980</w:t>
      </w:r>
      <w:r w:rsidR="008B54D4">
        <w:rPr>
          <w:color w:val="000000"/>
        </w:rPr>
        <w:t>’</w:t>
      </w:r>
      <w:r>
        <w:rPr>
          <w:color w:val="000000"/>
        </w:rPr>
        <w:t>s and 1990</w:t>
      </w:r>
      <w:r w:rsidR="008B54D4">
        <w:rPr>
          <w:color w:val="000000"/>
        </w:rPr>
        <w:t>’</w:t>
      </w:r>
      <w:r>
        <w:rPr>
          <w:color w:val="000000"/>
        </w:rPr>
        <w:t>s</w:t>
      </w:r>
      <w:r w:rsidR="006A227C">
        <w:rPr>
          <w:color w:val="000000"/>
        </w:rPr>
        <w:t xml:space="preserve">.  </w:t>
      </w:r>
      <w:r>
        <w:rPr>
          <w:color w:val="000000"/>
        </w:rPr>
        <w:t>However</w:t>
      </w:r>
      <w:r w:rsidR="008B54D4">
        <w:rPr>
          <w:color w:val="000000"/>
        </w:rPr>
        <w:t>,</w:t>
      </w:r>
      <w:r>
        <w:rPr>
          <w:color w:val="000000"/>
        </w:rPr>
        <w:t xml:space="preserve"> morphine</w:t>
      </w:r>
      <w:r w:rsidR="008B54D4">
        <w:rPr>
          <w:color w:val="000000"/>
        </w:rPr>
        <w:t>’</w:t>
      </w:r>
      <w:r>
        <w:rPr>
          <w:color w:val="000000"/>
        </w:rPr>
        <w:t>s stigma as an addictive narcotic caused patients and physicians alike to avoid it</w:t>
      </w:r>
      <w:r w:rsidR="006A227C">
        <w:rPr>
          <w:color w:val="000000"/>
        </w:rPr>
        <w:t xml:space="preserve">.  </w:t>
      </w:r>
    </w:p>
    <w:p w14:paraId="0B79A3ED" w14:textId="69D80323" w:rsidR="00A77BBD" w:rsidRDefault="00A77BBD" w:rsidP="00A77BBD">
      <w:pPr>
        <w:pStyle w:val="BodyTextFirstIndent"/>
      </w:pPr>
      <w:r>
        <w:rPr>
          <w:color w:val="000000"/>
        </w:rPr>
        <w:t xml:space="preserve">So </w:t>
      </w:r>
      <w:r w:rsidR="006239B5">
        <w:rPr>
          <w:color w:val="000000"/>
        </w:rPr>
        <w:t>Oxy</w:t>
      </w:r>
      <w:r>
        <w:rPr>
          <w:color w:val="000000"/>
        </w:rPr>
        <w:t xml:space="preserve"> concentrated on the research</w:t>
      </w:r>
      <w:r w:rsidR="008B54D4">
        <w:rPr>
          <w:color w:val="000000"/>
        </w:rPr>
        <w:t>,</w:t>
      </w:r>
      <w:r>
        <w:rPr>
          <w:color w:val="000000"/>
        </w:rPr>
        <w:t xml:space="preserve"> development</w:t>
      </w:r>
      <w:r w:rsidR="008B54D4">
        <w:rPr>
          <w:color w:val="000000"/>
        </w:rPr>
        <w:t>,</w:t>
      </w:r>
      <w:r>
        <w:rPr>
          <w:color w:val="000000"/>
        </w:rPr>
        <w:t xml:space="preserve"> and testing of a non-morphine drug:  its controlled-release semisynthetic opioid analgesic named “</w:t>
      </w:r>
      <w:r w:rsidR="00E82FD6">
        <w:rPr>
          <w:color w:val="000000"/>
        </w:rPr>
        <w:t>Oxy</w:t>
      </w:r>
      <w:r w:rsidR="00640A7D">
        <w:rPr>
          <w:color w:val="000000"/>
        </w:rPr>
        <w:t>con</w:t>
      </w:r>
      <w:r>
        <w:rPr>
          <w:color w:val="000000"/>
        </w:rPr>
        <w:t>.”</w:t>
      </w:r>
      <w:r w:rsidR="004F2BA9">
        <w:rPr>
          <w:color w:val="000000"/>
        </w:rPr>
        <w:t xml:space="preserve"> </w:t>
      </w:r>
      <w:r>
        <w:rPr>
          <w:color w:val="000000"/>
        </w:rPr>
        <w:t xml:space="preserve"> In December 1995</w:t>
      </w:r>
      <w:r w:rsidR="008B54D4">
        <w:rPr>
          <w:color w:val="000000"/>
        </w:rPr>
        <w:t>,</w:t>
      </w:r>
      <w:r>
        <w:rPr>
          <w:color w:val="000000"/>
        </w:rPr>
        <w:t xml:space="preserve"> the Food and Drug Administration (“FDA”) approved </w:t>
      </w:r>
      <w:r w:rsidR="00E82FD6">
        <w:rPr>
          <w:color w:val="000000"/>
        </w:rPr>
        <w:t>Oxy</w:t>
      </w:r>
      <w:r w:rsidR="00640A7D">
        <w:rPr>
          <w:color w:val="000000"/>
        </w:rPr>
        <w:t>con</w:t>
      </w:r>
      <w:r>
        <w:rPr>
          <w:color w:val="000000"/>
        </w:rPr>
        <w:t xml:space="preserve"> for use</w:t>
      </w:r>
      <w:r w:rsidR="006A227C">
        <w:rPr>
          <w:color w:val="000000"/>
        </w:rPr>
        <w:t xml:space="preserve">.  </w:t>
      </w:r>
      <w:r w:rsidR="00E82FD6">
        <w:rPr>
          <w:color w:val="000000"/>
        </w:rPr>
        <w:t>Oxy</w:t>
      </w:r>
      <w:r w:rsidR="00640A7D">
        <w:rPr>
          <w:color w:val="000000"/>
        </w:rPr>
        <w:t>con</w:t>
      </w:r>
      <w:r w:rsidR="008B54D4">
        <w:rPr>
          <w:color w:val="000000"/>
        </w:rPr>
        <w:t>’</w:t>
      </w:r>
      <w:r>
        <w:rPr>
          <w:color w:val="000000"/>
        </w:rPr>
        <w:t xml:space="preserve">s formulations were labeled as “extended release” or “time release” doses because the active ingredients </w:t>
      </w:r>
      <w:r w:rsidR="003B7D4B">
        <w:rPr>
          <w:color w:val="000000"/>
        </w:rPr>
        <w:t>Cantin</w:t>
      </w:r>
      <w:r>
        <w:rPr>
          <w:color w:val="000000"/>
        </w:rPr>
        <w:t>uously enter into a patient</w:t>
      </w:r>
      <w:r w:rsidR="008B54D4">
        <w:rPr>
          <w:color w:val="000000"/>
        </w:rPr>
        <w:t>’</w:t>
      </w:r>
      <w:r>
        <w:rPr>
          <w:color w:val="000000"/>
        </w:rPr>
        <w:t>s system over time; a single dose could provide relief from serious pain for up to 12 hours</w:t>
      </w:r>
      <w:r w:rsidR="006A227C">
        <w:rPr>
          <w:color w:val="000000"/>
        </w:rPr>
        <w:t xml:space="preserve">.  </w:t>
      </w:r>
      <w:r>
        <w:rPr>
          <w:color w:val="000000"/>
        </w:rPr>
        <w:t xml:space="preserve">A 2000 </w:t>
      </w:r>
      <w:r w:rsidR="00EA0E81">
        <w:rPr>
          <w:i/>
          <w:iCs/>
          <w:color w:val="000000"/>
        </w:rPr>
        <w:t>Life</w:t>
      </w:r>
      <w:r>
        <w:rPr>
          <w:color w:val="000000"/>
        </w:rPr>
        <w:t xml:space="preserve"> Magazine article explains that </w:t>
      </w:r>
      <w:r w:rsidR="00E82FD6">
        <w:rPr>
          <w:color w:val="000000"/>
        </w:rPr>
        <w:t>Oxy</w:t>
      </w:r>
      <w:r w:rsidR="00640A7D">
        <w:rPr>
          <w:color w:val="000000"/>
        </w:rPr>
        <w:t>con</w:t>
      </w:r>
      <w:r>
        <w:rPr>
          <w:color w:val="000000"/>
        </w:rPr>
        <w:t xml:space="preserve"> was quickly “hailed as a miracle” after its introduction in 1995</w:t>
      </w:r>
      <w:r w:rsidR="008B54D4">
        <w:rPr>
          <w:color w:val="000000"/>
        </w:rPr>
        <w:t>,</w:t>
      </w:r>
      <w:r>
        <w:rPr>
          <w:color w:val="000000"/>
        </w:rPr>
        <w:t xml:space="preserve"> because “it eases chronic pain because its dissolvable coating allows a measured does of the opiate oxycodone to be released into the bloodstream.”</w:t>
      </w:r>
      <w:r w:rsidR="004F2BA9">
        <w:rPr>
          <w:color w:val="000000"/>
        </w:rPr>
        <w:t xml:space="preserve"> </w:t>
      </w:r>
      <w:r>
        <w:rPr>
          <w:color w:val="000000"/>
        </w:rPr>
        <w:t xml:space="preserve"> </w:t>
      </w:r>
    </w:p>
    <w:p w14:paraId="5492729E" w14:textId="036C755E" w:rsidR="00A77BBD" w:rsidRDefault="00A77BBD" w:rsidP="00A77BBD">
      <w:pPr>
        <w:pStyle w:val="BodyTextFirstIndent"/>
      </w:pPr>
      <w:r>
        <w:rPr>
          <w:color w:val="000000"/>
        </w:rPr>
        <w:t>For years</w:t>
      </w:r>
      <w:r w:rsidR="008B54D4">
        <w:rPr>
          <w:color w:val="000000"/>
        </w:rPr>
        <w:t>,</w:t>
      </w:r>
      <w:r>
        <w:rPr>
          <w:color w:val="000000"/>
        </w:rPr>
        <w:t xml:space="preserve"> </w:t>
      </w:r>
      <w:r w:rsidR="006239B5">
        <w:rPr>
          <w:color w:val="000000"/>
        </w:rPr>
        <w:t>Oxy</w:t>
      </w:r>
      <w:r>
        <w:rPr>
          <w:color w:val="000000"/>
        </w:rPr>
        <w:t xml:space="preserve"> contended that </w:t>
      </w:r>
      <w:r w:rsidR="00E82FD6">
        <w:rPr>
          <w:color w:val="000000"/>
        </w:rPr>
        <w:t>Oxy</w:t>
      </w:r>
      <w:r w:rsidR="00640A7D">
        <w:rPr>
          <w:color w:val="000000"/>
        </w:rPr>
        <w:t>con</w:t>
      </w:r>
      <w:r w:rsidR="008B54D4">
        <w:rPr>
          <w:color w:val="000000"/>
        </w:rPr>
        <w:t>,</w:t>
      </w:r>
      <w:r>
        <w:rPr>
          <w:color w:val="000000"/>
        </w:rPr>
        <w:t xml:space="preserve"> due to its “time release” formulation</w:t>
      </w:r>
      <w:r w:rsidR="008B54D4">
        <w:rPr>
          <w:color w:val="000000"/>
        </w:rPr>
        <w:t>,</w:t>
      </w:r>
      <w:r>
        <w:rPr>
          <w:color w:val="000000"/>
        </w:rPr>
        <w:t xml:space="preserve"> posed virtually no threat of either abuse or addiction - as opposed to other pain relief drugs</w:t>
      </w:r>
      <w:r w:rsidR="008B54D4">
        <w:rPr>
          <w:color w:val="000000"/>
        </w:rPr>
        <w:t>,</w:t>
      </w:r>
      <w:r>
        <w:rPr>
          <w:color w:val="000000"/>
        </w:rPr>
        <w:t xml:space="preserve"> such as Percocet or Vicodin</w:t>
      </w:r>
      <w:r w:rsidR="008B54D4">
        <w:rPr>
          <w:color w:val="000000"/>
        </w:rPr>
        <w:t>,</w:t>
      </w:r>
      <w:r>
        <w:rPr>
          <w:color w:val="000000"/>
        </w:rPr>
        <w:t xml:space="preserve"> which are not controlled-release painkillers</w:t>
      </w:r>
      <w:r w:rsidR="006A227C">
        <w:rPr>
          <w:color w:val="000000"/>
        </w:rPr>
        <w:t xml:space="preserve">.  </w:t>
      </w:r>
      <w:r w:rsidR="006239B5">
        <w:rPr>
          <w:color w:val="000000"/>
        </w:rPr>
        <w:t>Oxy</w:t>
      </w:r>
      <w:r>
        <w:rPr>
          <w:color w:val="000000"/>
        </w:rPr>
        <w:t xml:space="preserve"> delivered that message to prescribing physicians and patients alike.</w:t>
      </w:r>
    </w:p>
    <w:p w14:paraId="11440818" w14:textId="2C67A8C8" w:rsidR="00A77BBD" w:rsidRDefault="00A77BBD" w:rsidP="00A77BBD">
      <w:pPr>
        <w:pStyle w:val="BodyTextFirstIndent"/>
      </w:pPr>
      <w:r>
        <w:rPr>
          <w:color w:val="000000"/>
        </w:rPr>
        <w:t xml:space="preserve">But time-release </w:t>
      </w:r>
      <w:r w:rsidR="00E82FD6">
        <w:rPr>
          <w:color w:val="000000"/>
        </w:rPr>
        <w:t>Oxy</w:t>
      </w:r>
      <w:r w:rsidR="00640A7D">
        <w:rPr>
          <w:color w:val="000000"/>
        </w:rPr>
        <w:t>con</w:t>
      </w:r>
      <w:r>
        <w:rPr>
          <w:color w:val="000000"/>
        </w:rPr>
        <w:t xml:space="preserve"> proved to have an efficacy and safety profile similar to that of immediate-release opioid pain relievers</w:t>
      </w:r>
      <w:r w:rsidR="006A227C">
        <w:rPr>
          <w:color w:val="000000"/>
        </w:rPr>
        <w:t xml:space="preserve">.  </w:t>
      </w:r>
      <w:r>
        <w:rPr>
          <w:color w:val="000000"/>
        </w:rPr>
        <w:t>Indeed</w:t>
      </w:r>
      <w:r w:rsidR="008B54D4">
        <w:rPr>
          <w:color w:val="000000"/>
        </w:rPr>
        <w:t>,</w:t>
      </w:r>
      <w:r>
        <w:rPr>
          <w:color w:val="000000"/>
        </w:rPr>
        <w:t xml:space="preserve"> in 2001</w:t>
      </w:r>
      <w:r w:rsidR="008B54D4">
        <w:rPr>
          <w:color w:val="000000"/>
        </w:rPr>
        <w:t>,</w:t>
      </w:r>
      <w:r>
        <w:rPr>
          <w:color w:val="000000"/>
        </w:rPr>
        <w:t xml:space="preserve"> the FDA required that </w:t>
      </w:r>
      <w:r w:rsidR="006239B5">
        <w:rPr>
          <w:color w:val="000000"/>
        </w:rPr>
        <w:t>Oxy</w:t>
      </w:r>
      <w:r>
        <w:rPr>
          <w:color w:val="000000"/>
        </w:rPr>
        <w:t xml:space="preserve"> remove from its drug label the claim that </w:t>
      </w:r>
      <w:r w:rsidR="00E82FD6">
        <w:rPr>
          <w:color w:val="000000"/>
        </w:rPr>
        <w:t>Oxy</w:t>
      </w:r>
      <w:r w:rsidR="00640A7D">
        <w:rPr>
          <w:color w:val="000000"/>
        </w:rPr>
        <w:t>con</w:t>
      </w:r>
      <w:r>
        <w:rPr>
          <w:color w:val="000000"/>
        </w:rPr>
        <w:t xml:space="preserve"> had a very low risk of iatrogenic addiction; </w:t>
      </w:r>
      <w:r w:rsidR="006239B5">
        <w:rPr>
          <w:color w:val="000000"/>
        </w:rPr>
        <w:t>Oxy</w:t>
      </w:r>
      <w:r>
        <w:rPr>
          <w:color w:val="000000"/>
        </w:rPr>
        <w:t xml:space="preserve"> was ordered to add instead the highest level of safety warning that the FDA can place on an approved drug produ</w:t>
      </w:r>
      <w:r w:rsidR="00EA0E81">
        <w:rPr>
          <w:color w:val="000000"/>
        </w:rPr>
        <w:t>c</w:t>
      </w:r>
      <w:r w:rsidR="004F2BA9">
        <w:rPr>
          <w:color w:val="000000"/>
        </w:rPr>
        <w:t xml:space="preserve">t. </w:t>
      </w:r>
    </w:p>
    <w:p w14:paraId="79F73B62" w14:textId="621489D5" w:rsidR="00A77BBD" w:rsidRDefault="006239B5" w:rsidP="006E331E">
      <w:pPr>
        <w:pStyle w:val="Heading2"/>
      </w:pPr>
      <w:r>
        <w:t>Oxy</w:t>
      </w:r>
      <w:r w:rsidR="008B54D4">
        <w:t>’</w:t>
      </w:r>
      <w:r w:rsidR="00A77BBD">
        <w:t xml:space="preserve">s Deceptive Marketing of </w:t>
      </w:r>
      <w:r w:rsidR="00E82FD6">
        <w:t>Oxy</w:t>
      </w:r>
      <w:r w:rsidR="00640A7D">
        <w:t>con</w:t>
      </w:r>
    </w:p>
    <w:p w14:paraId="1CAE276C" w14:textId="7E76ACE1" w:rsidR="00A77BBD" w:rsidRDefault="00A77BBD" w:rsidP="00A77BBD">
      <w:pPr>
        <w:pStyle w:val="BodyTextFirstIndent"/>
      </w:pPr>
      <w:r>
        <w:rPr>
          <w:color w:val="000000"/>
        </w:rPr>
        <w:t xml:space="preserve">To promote its new product </w:t>
      </w:r>
      <w:r w:rsidR="00E82FD6">
        <w:rPr>
          <w:color w:val="000000"/>
        </w:rPr>
        <w:t>Oxy</w:t>
      </w:r>
      <w:r w:rsidR="00640A7D">
        <w:rPr>
          <w:color w:val="000000"/>
        </w:rPr>
        <w:t>con</w:t>
      </w:r>
      <w:r w:rsidR="008B54D4">
        <w:rPr>
          <w:color w:val="000000"/>
        </w:rPr>
        <w:t>,</w:t>
      </w:r>
      <w:r>
        <w:rPr>
          <w:color w:val="000000"/>
        </w:rPr>
        <w:t xml:space="preserve"> </w:t>
      </w:r>
      <w:r w:rsidR="006239B5">
        <w:rPr>
          <w:color w:val="000000"/>
        </w:rPr>
        <w:t>Oxy</w:t>
      </w:r>
      <w:r>
        <w:rPr>
          <w:color w:val="000000"/>
        </w:rPr>
        <w:t xml:space="preserve"> launched an aggressive marketing campaign</w:t>
      </w:r>
      <w:r w:rsidR="006A227C">
        <w:rPr>
          <w:color w:val="000000"/>
        </w:rPr>
        <w:t xml:space="preserve">.  </w:t>
      </w:r>
      <w:r>
        <w:rPr>
          <w:color w:val="000000"/>
        </w:rPr>
        <w:t>That campaign was multi-fold</w:t>
      </w:r>
      <w:r w:rsidR="008B54D4">
        <w:rPr>
          <w:color w:val="000000"/>
        </w:rPr>
        <w:t>,</w:t>
      </w:r>
      <w:r>
        <w:rPr>
          <w:color w:val="000000"/>
        </w:rPr>
        <w:t xml:space="preserve"> aiming in part to combat concerns about the abuse potential of opioids and to encourage doctors to prescribe </w:t>
      </w:r>
      <w:r w:rsidR="00E82FD6">
        <w:rPr>
          <w:color w:val="000000"/>
        </w:rPr>
        <w:t>Oxy</w:t>
      </w:r>
      <w:r w:rsidR="00640A7D">
        <w:rPr>
          <w:color w:val="000000"/>
        </w:rPr>
        <w:t>con</w:t>
      </w:r>
      <w:r>
        <w:rPr>
          <w:color w:val="000000"/>
        </w:rPr>
        <w:t xml:space="preserve"> for more and different types of pain</w:t>
      </w:r>
      <w:r w:rsidR="006A227C">
        <w:rPr>
          <w:color w:val="000000"/>
        </w:rPr>
        <w:t xml:space="preserve">. </w:t>
      </w:r>
    </w:p>
    <w:p w14:paraId="602B27C9" w14:textId="0A27F796" w:rsidR="00A77BBD" w:rsidRDefault="00A77BBD" w:rsidP="00A77BBD">
      <w:pPr>
        <w:pStyle w:val="BodyTextFirstIndent"/>
      </w:pPr>
      <w:r>
        <w:rPr>
          <w:color w:val="000000"/>
        </w:rPr>
        <w:t xml:space="preserve">Before </w:t>
      </w:r>
      <w:r w:rsidR="00E82FD6">
        <w:rPr>
          <w:color w:val="000000"/>
        </w:rPr>
        <w:t>Oxy</w:t>
      </w:r>
      <w:r w:rsidR="00640A7D">
        <w:rPr>
          <w:color w:val="000000"/>
        </w:rPr>
        <w:t>con</w:t>
      </w:r>
      <w:r w:rsidR="008B54D4">
        <w:rPr>
          <w:color w:val="000000"/>
        </w:rPr>
        <w:t>,</w:t>
      </w:r>
      <w:r>
        <w:rPr>
          <w:color w:val="000000"/>
        </w:rPr>
        <w:t xml:space="preserve"> opioid pain relievers were usually prescribed for cancer patients and patients with chronic diseases whose pain was “undertreated.” </w:t>
      </w:r>
      <w:r w:rsidR="004F2BA9">
        <w:rPr>
          <w:color w:val="000000"/>
        </w:rPr>
        <w:t xml:space="preserve"> </w:t>
      </w:r>
      <w:r>
        <w:rPr>
          <w:color w:val="000000"/>
        </w:rPr>
        <w:t xml:space="preserve">But </w:t>
      </w:r>
      <w:r w:rsidR="006239B5">
        <w:rPr>
          <w:color w:val="000000"/>
        </w:rPr>
        <w:t>Oxy</w:t>
      </w:r>
      <w:r>
        <w:rPr>
          <w:color w:val="000000"/>
        </w:rPr>
        <w:t xml:space="preserve"> pushed </w:t>
      </w:r>
      <w:r w:rsidR="00E82FD6">
        <w:rPr>
          <w:color w:val="000000"/>
        </w:rPr>
        <w:t>Oxy</w:t>
      </w:r>
      <w:r w:rsidR="00640A7D">
        <w:rPr>
          <w:color w:val="000000"/>
        </w:rPr>
        <w:t>con</w:t>
      </w:r>
      <w:r>
        <w:rPr>
          <w:color w:val="000000"/>
        </w:rPr>
        <w:t xml:space="preserve"> as a treatment for many types of pain patients</w:t>
      </w:r>
      <w:r w:rsidR="008B54D4">
        <w:rPr>
          <w:color w:val="000000"/>
        </w:rPr>
        <w:t>,</w:t>
      </w:r>
      <w:r>
        <w:rPr>
          <w:color w:val="000000"/>
        </w:rPr>
        <w:t xml:space="preserve"> including those with “noncancer pain” and other “nonmalignant” pain</w:t>
      </w:r>
      <w:r w:rsidR="006A227C">
        <w:rPr>
          <w:color w:val="000000"/>
        </w:rPr>
        <w:t xml:space="preserve">.  </w:t>
      </w:r>
      <w:r w:rsidR="006239B5">
        <w:rPr>
          <w:color w:val="000000"/>
        </w:rPr>
        <w:t>Oxy</w:t>
      </w:r>
      <w:r>
        <w:rPr>
          <w:color w:val="000000"/>
        </w:rPr>
        <w:t xml:space="preserve"> repeatedly published advertisements claiming</w:t>
      </w:r>
      <w:r w:rsidR="008B54D4">
        <w:rPr>
          <w:color w:val="000000"/>
        </w:rPr>
        <w:t>,</w:t>
      </w:r>
      <w:r>
        <w:rPr>
          <w:color w:val="000000"/>
        </w:rPr>
        <w:t xml:space="preserve"> for example</w:t>
      </w:r>
      <w:r w:rsidR="008B54D4">
        <w:rPr>
          <w:color w:val="000000"/>
        </w:rPr>
        <w:t>,</w:t>
      </w:r>
      <w:r>
        <w:rPr>
          <w:color w:val="000000"/>
        </w:rPr>
        <w:t xml:space="preserve"> that </w:t>
      </w:r>
      <w:r w:rsidR="00E82FD6">
        <w:rPr>
          <w:color w:val="000000"/>
        </w:rPr>
        <w:t>Oxy</w:t>
      </w:r>
      <w:r w:rsidR="00640A7D">
        <w:rPr>
          <w:color w:val="000000"/>
        </w:rPr>
        <w:t>con</w:t>
      </w:r>
      <w:r>
        <w:rPr>
          <w:color w:val="000000"/>
        </w:rPr>
        <w:t xml:space="preserve"> can be an effective “first-line therapy for the treatment of arthritis” and safely used for “osteoarthritis pain”</w:t>
      </w:r>
      <w:r w:rsidR="004F2BA9">
        <w:rPr>
          <w:color w:val="000000"/>
        </w:rPr>
        <w:t xml:space="preserve"> </w:t>
      </w:r>
      <w:r>
        <w:rPr>
          <w:color w:val="000000"/>
        </w:rPr>
        <w:t xml:space="preserve"> and in many cases “mak[ing] unsubstantiated efficacy claims promoting the use of </w:t>
      </w:r>
      <w:r w:rsidR="00E82FD6">
        <w:rPr>
          <w:color w:val="000000"/>
        </w:rPr>
        <w:t>Oxy</w:t>
      </w:r>
      <w:r w:rsidR="00640A7D">
        <w:rPr>
          <w:color w:val="000000"/>
        </w:rPr>
        <w:t>con</w:t>
      </w:r>
      <w:r>
        <w:rPr>
          <w:color w:val="000000"/>
        </w:rPr>
        <w:t xml:space="preserve"> for pain relief</w:t>
      </w:r>
      <w:r w:rsidR="008B54D4">
        <w:rPr>
          <w:color w:val="000000"/>
        </w:rPr>
        <w:t>,</w:t>
      </w:r>
      <w:r>
        <w:rPr>
          <w:color w:val="000000"/>
        </w:rPr>
        <w:t xml:space="preserve">” “promoting </w:t>
      </w:r>
      <w:r w:rsidR="00E82FD6">
        <w:rPr>
          <w:color w:val="000000"/>
        </w:rPr>
        <w:t>Oxy</w:t>
      </w:r>
      <w:r w:rsidR="00640A7D">
        <w:rPr>
          <w:color w:val="000000"/>
        </w:rPr>
        <w:t>con</w:t>
      </w:r>
      <w:r>
        <w:rPr>
          <w:color w:val="000000"/>
        </w:rPr>
        <w:t xml:space="preserve"> for a much broader range of patients with pain than are appropriate for the drug</w:t>
      </w:r>
      <w:r w:rsidR="008B54D4">
        <w:rPr>
          <w:color w:val="000000"/>
        </w:rPr>
        <w:t>,</w:t>
      </w:r>
      <w:r>
        <w:rPr>
          <w:color w:val="000000"/>
        </w:rPr>
        <w:t xml:space="preserve">” “overstat[ing] the safety profile of </w:t>
      </w:r>
      <w:r w:rsidR="00E82FD6">
        <w:rPr>
          <w:color w:val="000000"/>
        </w:rPr>
        <w:t>Oxy</w:t>
      </w:r>
      <w:r w:rsidR="00640A7D">
        <w:rPr>
          <w:color w:val="000000"/>
        </w:rPr>
        <w:t>con</w:t>
      </w:r>
      <w:r w:rsidR="008B54D4">
        <w:rPr>
          <w:color w:val="000000"/>
        </w:rPr>
        <w:t>,</w:t>
      </w:r>
      <w:r>
        <w:rPr>
          <w:color w:val="000000"/>
        </w:rPr>
        <w:t xml:space="preserve">” and repeatedly omitting </w:t>
      </w:r>
      <w:r w:rsidR="00E82FD6">
        <w:rPr>
          <w:color w:val="000000"/>
        </w:rPr>
        <w:t>Oxy</w:t>
      </w:r>
      <w:r w:rsidR="008B54D4">
        <w:rPr>
          <w:color w:val="000000"/>
        </w:rPr>
        <w:t>’</w:t>
      </w:r>
      <w:r>
        <w:rPr>
          <w:color w:val="000000"/>
        </w:rPr>
        <w:t>s “abuse liability” - all of which was contemporaneously documented in FDA warning letters to the company throughout the early 2000</w:t>
      </w:r>
      <w:r w:rsidR="008B54D4">
        <w:rPr>
          <w:color w:val="000000"/>
        </w:rPr>
        <w:t>’</w:t>
      </w:r>
      <w:r>
        <w:rPr>
          <w:color w:val="000000"/>
        </w:rPr>
        <w:t>s</w:t>
      </w:r>
      <w:r w:rsidR="006A227C">
        <w:rPr>
          <w:color w:val="000000"/>
        </w:rPr>
        <w:t xml:space="preserve">.  </w:t>
      </w:r>
    </w:p>
    <w:p w14:paraId="5143A0B9" w14:textId="72DF4394" w:rsidR="00A77BBD" w:rsidRDefault="00A77BBD" w:rsidP="00A77BBD">
      <w:pPr>
        <w:pStyle w:val="BodyTextFirstIndent"/>
      </w:pPr>
      <w:r>
        <w:rPr>
          <w:color w:val="000000"/>
        </w:rPr>
        <w:t>By its marketing campaign</w:t>
      </w:r>
      <w:r w:rsidR="008B54D4">
        <w:rPr>
          <w:color w:val="000000"/>
        </w:rPr>
        <w:t>,</w:t>
      </w:r>
      <w:r>
        <w:rPr>
          <w:color w:val="000000"/>
        </w:rPr>
        <w:t xml:space="preserve"> </w:t>
      </w:r>
      <w:r w:rsidR="006239B5">
        <w:rPr>
          <w:color w:val="000000"/>
        </w:rPr>
        <w:t>Oxy</w:t>
      </w:r>
      <w:r>
        <w:rPr>
          <w:color w:val="000000"/>
        </w:rPr>
        <w:t xml:space="preserve"> sought to eliminate concerns regarding “</w:t>
      </w:r>
      <w:r w:rsidR="00E82FD6">
        <w:rPr>
          <w:color w:val="000000"/>
        </w:rPr>
        <w:t>Oxy</w:t>
      </w:r>
      <w:r w:rsidR="00B747C6">
        <w:rPr>
          <w:color w:val="000000"/>
        </w:rPr>
        <w:t>con</w:t>
      </w:r>
      <w:r w:rsidR="008B54D4">
        <w:rPr>
          <w:color w:val="000000"/>
        </w:rPr>
        <w:t>’</w:t>
      </w:r>
      <w:r>
        <w:rPr>
          <w:color w:val="000000"/>
        </w:rPr>
        <w:t>s addictive potential.”</w:t>
      </w:r>
      <w:r w:rsidR="002E3DAF">
        <w:rPr>
          <w:color w:val="000000"/>
        </w:rPr>
        <w:t xml:space="preserve"> </w:t>
      </w:r>
      <w:r>
        <w:rPr>
          <w:color w:val="000000"/>
        </w:rPr>
        <w:t xml:space="preserve"> To do this</w:t>
      </w:r>
      <w:r w:rsidR="008B54D4">
        <w:rPr>
          <w:color w:val="000000"/>
        </w:rPr>
        <w:t>,</w:t>
      </w:r>
      <w:r>
        <w:rPr>
          <w:color w:val="000000"/>
        </w:rPr>
        <w:t xml:space="preserve"> </w:t>
      </w:r>
      <w:r w:rsidR="006239B5">
        <w:rPr>
          <w:color w:val="000000"/>
        </w:rPr>
        <w:t>Oxy</w:t>
      </w:r>
      <w:r>
        <w:rPr>
          <w:color w:val="000000"/>
        </w:rPr>
        <w:t xml:space="preserve"> needed to encourage doctors and patients to overcome their reservations about the use of opioids</w:t>
      </w:r>
      <w:r w:rsidR="006A227C">
        <w:rPr>
          <w:color w:val="000000"/>
        </w:rPr>
        <w:t xml:space="preserve">.  </w:t>
      </w:r>
      <w:r>
        <w:rPr>
          <w:color w:val="000000"/>
        </w:rPr>
        <w:t>For this purpose</w:t>
      </w:r>
      <w:r w:rsidR="008B54D4">
        <w:rPr>
          <w:color w:val="000000"/>
        </w:rPr>
        <w:t>,</w:t>
      </w:r>
      <w:r>
        <w:rPr>
          <w:color w:val="000000"/>
        </w:rPr>
        <w:t xml:space="preserve"> </w:t>
      </w:r>
      <w:r w:rsidR="006239B5">
        <w:rPr>
          <w:color w:val="000000"/>
        </w:rPr>
        <w:t>Oxy</w:t>
      </w:r>
      <w:r>
        <w:rPr>
          <w:color w:val="000000"/>
        </w:rPr>
        <w:t xml:space="preserve"> created a website called “</w:t>
      </w:r>
      <w:r w:rsidR="00EA0E81">
        <w:rPr>
          <w:i/>
          <w:iCs/>
          <w:color w:val="000000"/>
        </w:rPr>
        <w:t xml:space="preserve">In </w:t>
      </w:r>
      <w:r>
        <w:rPr>
          <w:i/>
          <w:iCs/>
          <w:color w:val="000000"/>
        </w:rPr>
        <w:t>Pain</w:t>
      </w:r>
      <w:r w:rsidR="00EA0E81">
        <w:rPr>
          <w:i/>
          <w:iCs/>
          <w:color w:val="000000"/>
        </w:rPr>
        <w:t xml:space="preserve"> No Longer</w:t>
      </w:r>
      <w:r w:rsidR="008B54D4">
        <w:rPr>
          <w:color w:val="000000"/>
        </w:rPr>
        <w:t>,</w:t>
      </w:r>
      <w:r>
        <w:rPr>
          <w:color w:val="000000"/>
        </w:rPr>
        <w:t xml:space="preserve">” which promoted </w:t>
      </w:r>
      <w:r w:rsidR="00E82FD6">
        <w:rPr>
          <w:color w:val="000000"/>
        </w:rPr>
        <w:t>Oxy</w:t>
      </w:r>
      <w:r w:rsidR="00B747C6">
        <w:rPr>
          <w:color w:val="000000"/>
        </w:rPr>
        <w:t>con</w:t>
      </w:r>
      <w:r>
        <w:rPr>
          <w:color w:val="000000"/>
        </w:rPr>
        <w:t xml:space="preserve"> pain treatment and urged patients to “overcome” their “concerns about addiction.” </w:t>
      </w:r>
      <w:r w:rsidR="002E3DAF">
        <w:rPr>
          <w:color w:val="000000"/>
        </w:rPr>
        <w:t xml:space="preserve"> </w:t>
      </w:r>
      <w:r>
        <w:rPr>
          <w:color w:val="000000"/>
        </w:rPr>
        <w:t xml:space="preserve">Testimonials on the website were allegedly presented as personal stories of </w:t>
      </w:r>
      <w:r w:rsidR="00E82FD6">
        <w:rPr>
          <w:color w:val="000000"/>
        </w:rPr>
        <w:t>Oxy</w:t>
      </w:r>
      <w:r w:rsidR="00B747C6">
        <w:rPr>
          <w:color w:val="000000"/>
        </w:rPr>
        <w:t>con</w:t>
      </w:r>
      <w:r>
        <w:rPr>
          <w:color w:val="000000"/>
        </w:rPr>
        <w:t xml:space="preserve"> patients who had overcome life-long struggles with debilitating pain</w:t>
      </w:r>
      <w:r w:rsidR="008B54D4">
        <w:rPr>
          <w:color w:val="000000"/>
        </w:rPr>
        <w:t>,</w:t>
      </w:r>
      <w:r>
        <w:rPr>
          <w:color w:val="000000"/>
        </w:rPr>
        <w:t xml:space="preserve"> although they were allegedly written by </w:t>
      </w:r>
      <w:r w:rsidR="006239B5">
        <w:rPr>
          <w:color w:val="000000"/>
        </w:rPr>
        <w:t>Oxy</w:t>
      </w:r>
      <w:r>
        <w:rPr>
          <w:color w:val="000000"/>
        </w:rPr>
        <w:t xml:space="preserve"> consultants</w:t>
      </w:r>
      <w:r w:rsidR="007362D6">
        <w:rPr>
          <w:color w:val="000000"/>
        </w:rPr>
        <w:t>,</w:t>
      </w:r>
      <w:r>
        <w:rPr>
          <w:color w:val="000000"/>
        </w:rPr>
        <w:t xml:space="preserve"> who were paid to promote the drug</w:t>
      </w:r>
      <w:r w:rsidR="006A227C">
        <w:rPr>
          <w:color w:val="000000"/>
        </w:rPr>
        <w:t xml:space="preserve">.  </w:t>
      </w:r>
    </w:p>
    <w:p w14:paraId="2A79B6CB" w14:textId="0B4EC7F8" w:rsidR="00A77BBD" w:rsidRDefault="006239B5" w:rsidP="00A77BBD">
      <w:pPr>
        <w:pStyle w:val="BodyTextFirstIndent"/>
      </w:pPr>
      <w:r>
        <w:rPr>
          <w:color w:val="000000"/>
        </w:rPr>
        <w:t>Oxy</w:t>
      </w:r>
      <w:r w:rsidR="00A77BBD">
        <w:rPr>
          <w:color w:val="000000"/>
        </w:rPr>
        <w:t xml:space="preserve"> also allegedly distributed pamphlets to doctors</w:t>
      </w:r>
      <w:r w:rsidR="006A227C">
        <w:rPr>
          <w:color w:val="000000"/>
        </w:rPr>
        <w:t xml:space="preserve">.  </w:t>
      </w:r>
      <w:r w:rsidR="00A77BBD">
        <w:rPr>
          <w:color w:val="000000"/>
        </w:rPr>
        <w:t>In one such pamphlet</w:t>
      </w:r>
      <w:r w:rsidR="008B54D4">
        <w:rPr>
          <w:color w:val="000000"/>
        </w:rPr>
        <w:t>,</w:t>
      </w:r>
      <w:r w:rsidR="00A77BBD">
        <w:rPr>
          <w:color w:val="000000"/>
        </w:rPr>
        <w:t xml:space="preserve"> </w:t>
      </w:r>
      <w:r w:rsidR="00A77BBD">
        <w:rPr>
          <w:i/>
          <w:iCs/>
          <w:color w:val="000000"/>
        </w:rPr>
        <w:t>A Reference Guide To Controlled Substance Prescribing Practices</w:t>
      </w:r>
      <w:r w:rsidR="008B54D4">
        <w:rPr>
          <w:color w:val="000000"/>
        </w:rPr>
        <w:t>,</w:t>
      </w:r>
      <w:r w:rsidR="00A77BBD">
        <w:rPr>
          <w:color w:val="000000"/>
        </w:rPr>
        <w:t xml:space="preserve"> </w:t>
      </w:r>
      <w:r>
        <w:rPr>
          <w:color w:val="000000"/>
        </w:rPr>
        <w:t>Oxy</w:t>
      </w:r>
      <w:r w:rsidR="00A77BBD">
        <w:rPr>
          <w:color w:val="000000"/>
        </w:rPr>
        <w:t xml:space="preserve"> wrote that addiction “is not caused by drugs.”</w:t>
      </w:r>
      <w:r w:rsidR="002E3DAF">
        <w:rPr>
          <w:color w:val="000000"/>
        </w:rPr>
        <w:t xml:space="preserve"> </w:t>
      </w:r>
      <w:r w:rsidR="00A77BBD">
        <w:rPr>
          <w:color w:val="000000"/>
        </w:rPr>
        <w:t xml:space="preserve"> In another</w:t>
      </w:r>
      <w:r w:rsidR="008B54D4">
        <w:rPr>
          <w:color w:val="000000"/>
        </w:rPr>
        <w:t>,</w:t>
      </w:r>
      <w:r w:rsidR="00A77BBD">
        <w:rPr>
          <w:color w:val="000000"/>
        </w:rPr>
        <w:t xml:space="preserve"> the “Resource Guide </w:t>
      </w:r>
      <w:r w:rsidR="00EA0E81">
        <w:rPr>
          <w:color w:val="000000"/>
        </w:rPr>
        <w:t>About</w:t>
      </w:r>
      <w:r w:rsidR="00A77BBD">
        <w:rPr>
          <w:color w:val="000000"/>
        </w:rPr>
        <w:t xml:space="preserve"> Pain</w:t>
      </w:r>
      <w:r w:rsidR="008B54D4">
        <w:rPr>
          <w:color w:val="000000"/>
        </w:rPr>
        <w:t>,</w:t>
      </w:r>
      <w:r w:rsidR="00A77BBD">
        <w:rPr>
          <w:color w:val="000000"/>
        </w:rPr>
        <w:t xml:space="preserve">” </w:t>
      </w:r>
      <w:r>
        <w:rPr>
          <w:color w:val="000000"/>
        </w:rPr>
        <w:t>Oxy</w:t>
      </w:r>
      <w:r w:rsidR="00A77BBD">
        <w:rPr>
          <w:color w:val="000000"/>
        </w:rPr>
        <w:t xml:space="preserve"> explained</w:t>
      </w:r>
      <w:r w:rsidR="008B54D4">
        <w:rPr>
          <w:color w:val="000000"/>
        </w:rPr>
        <w:t>,</w:t>
      </w:r>
      <w:r w:rsidR="00A77BBD">
        <w:rPr>
          <w:color w:val="000000"/>
        </w:rPr>
        <w:t xml:space="preserve"> “Many people living with pain and even some healthcare providers believe that opioid medications are addictive</w:t>
      </w:r>
      <w:r w:rsidR="006A227C">
        <w:rPr>
          <w:color w:val="000000"/>
        </w:rPr>
        <w:t xml:space="preserve">.  </w:t>
      </w:r>
      <w:r w:rsidR="00A77BBD">
        <w:rPr>
          <w:color w:val="000000"/>
        </w:rPr>
        <w:t>The truth is that when properly prescribed by a healthcare professional and taken as directed</w:t>
      </w:r>
      <w:r w:rsidR="008B54D4">
        <w:rPr>
          <w:color w:val="000000"/>
        </w:rPr>
        <w:t>,</w:t>
      </w:r>
      <w:r w:rsidR="00A77BBD">
        <w:rPr>
          <w:color w:val="000000"/>
        </w:rPr>
        <w:t xml:space="preserve"> these medications give relief - not a </w:t>
      </w:r>
      <w:r w:rsidR="008B54D4">
        <w:rPr>
          <w:color w:val="000000"/>
        </w:rPr>
        <w:t>‘</w:t>
      </w:r>
      <w:r w:rsidR="00A77BBD">
        <w:rPr>
          <w:color w:val="000000"/>
        </w:rPr>
        <w:t>high.</w:t>
      </w:r>
      <w:r w:rsidR="008B54D4">
        <w:rPr>
          <w:color w:val="000000"/>
        </w:rPr>
        <w:t>’</w:t>
      </w:r>
      <w:r w:rsidR="00A77BBD">
        <w:rPr>
          <w:color w:val="000000"/>
        </w:rPr>
        <w:t>”</w:t>
      </w:r>
      <w:r w:rsidR="002E3DAF">
        <w:rPr>
          <w:color w:val="000000"/>
        </w:rPr>
        <w:t xml:space="preserve"> </w:t>
      </w:r>
      <w:r w:rsidR="00A77BBD">
        <w:rPr>
          <w:color w:val="000000"/>
        </w:rPr>
        <w:t xml:space="preserve"> </w:t>
      </w:r>
    </w:p>
    <w:p w14:paraId="6446ABD4" w14:textId="5A49DECB" w:rsidR="00A77BBD" w:rsidRDefault="006239B5" w:rsidP="00A77BBD">
      <w:pPr>
        <w:pStyle w:val="BodyTextFirstIndent"/>
      </w:pPr>
      <w:r>
        <w:rPr>
          <w:color w:val="000000"/>
        </w:rPr>
        <w:t>Oxy</w:t>
      </w:r>
      <w:r w:rsidR="008B54D4">
        <w:rPr>
          <w:color w:val="000000"/>
        </w:rPr>
        <w:t>’</w:t>
      </w:r>
      <w:r w:rsidR="00A77BBD">
        <w:rPr>
          <w:color w:val="000000"/>
        </w:rPr>
        <w:t>s marketing campaign proved successful</w:t>
      </w:r>
      <w:r w:rsidR="006A227C">
        <w:rPr>
          <w:color w:val="000000"/>
        </w:rPr>
        <w:t xml:space="preserve">.  </w:t>
      </w:r>
      <w:r w:rsidR="00E82FD6">
        <w:rPr>
          <w:color w:val="000000"/>
        </w:rPr>
        <w:t>Oxy</w:t>
      </w:r>
      <w:r w:rsidR="00B747C6">
        <w:rPr>
          <w:color w:val="000000"/>
        </w:rPr>
        <w:t>con</w:t>
      </w:r>
      <w:r w:rsidR="00A77BBD">
        <w:rPr>
          <w:color w:val="000000"/>
        </w:rPr>
        <w:t xml:space="preserve"> was widely prescribed; bonuses to </w:t>
      </w:r>
      <w:r>
        <w:rPr>
          <w:color w:val="000000"/>
        </w:rPr>
        <w:t>Oxy</w:t>
      </w:r>
      <w:r w:rsidR="00A77BBD">
        <w:rPr>
          <w:color w:val="000000"/>
        </w:rPr>
        <w:t xml:space="preserve"> sales representatives for the sale of </w:t>
      </w:r>
      <w:r w:rsidR="00E82FD6">
        <w:rPr>
          <w:color w:val="000000"/>
        </w:rPr>
        <w:t>Oxy</w:t>
      </w:r>
      <w:r w:rsidR="00B747C6">
        <w:rPr>
          <w:color w:val="000000"/>
        </w:rPr>
        <w:t>con</w:t>
      </w:r>
      <w:r w:rsidR="00A77BBD">
        <w:rPr>
          <w:color w:val="000000"/>
        </w:rPr>
        <w:t xml:space="preserve"> increased from $1 million in 1996 to $40 million by 2001; and by 2001</w:t>
      </w:r>
      <w:r w:rsidR="008B54D4">
        <w:rPr>
          <w:color w:val="000000"/>
        </w:rPr>
        <w:t>,</w:t>
      </w:r>
      <w:r w:rsidR="00A77BBD">
        <w:rPr>
          <w:color w:val="000000"/>
        </w:rPr>
        <w:t xml:space="preserve"> annual sales of </w:t>
      </w:r>
      <w:r w:rsidR="00E82FD6">
        <w:rPr>
          <w:color w:val="000000"/>
        </w:rPr>
        <w:t>Oxy</w:t>
      </w:r>
      <w:r w:rsidR="00B747C6">
        <w:rPr>
          <w:color w:val="000000"/>
        </w:rPr>
        <w:t>con</w:t>
      </w:r>
      <w:r w:rsidR="00A77BBD">
        <w:rPr>
          <w:color w:val="000000"/>
        </w:rPr>
        <w:t xml:space="preserve"> reached $1 billion</w:t>
      </w:r>
      <w:r w:rsidR="006A227C">
        <w:rPr>
          <w:color w:val="000000"/>
        </w:rPr>
        <w:t xml:space="preserve">.  </w:t>
      </w:r>
      <w:r w:rsidR="00A77BBD">
        <w:rPr>
          <w:color w:val="000000"/>
        </w:rPr>
        <w:t>By 2001</w:t>
      </w:r>
      <w:r w:rsidR="008B54D4">
        <w:rPr>
          <w:color w:val="000000"/>
        </w:rPr>
        <w:t>,</w:t>
      </w:r>
      <w:r w:rsidR="00A77BBD">
        <w:rPr>
          <w:color w:val="000000"/>
        </w:rPr>
        <w:t xml:space="preserve"> </w:t>
      </w:r>
      <w:r w:rsidR="00E82FD6">
        <w:rPr>
          <w:color w:val="000000"/>
        </w:rPr>
        <w:t>Oxy</w:t>
      </w:r>
      <w:r w:rsidR="00B747C6">
        <w:rPr>
          <w:color w:val="000000"/>
        </w:rPr>
        <w:t>con</w:t>
      </w:r>
      <w:r w:rsidR="00A77BBD">
        <w:rPr>
          <w:color w:val="000000"/>
        </w:rPr>
        <w:t xml:space="preserve"> was “the most prescribed brand-name narcotic medication” in the </w:t>
      </w:r>
      <w:r w:rsidR="002F10FB">
        <w:rPr>
          <w:color w:val="000000"/>
        </w:rPr>
        <w:t>U.S</w:t>
      </w:r>
      <w:r w:rsidR="00EA0E81">
        <w:rPr>
          <w:color w:val="000000"/>
        </w:rPr>
        <w:t>.</w:t>
      </w:r>
    </w:p>
    <w:p w14:paraId="063AC4FA" w14:textId="05ED9796" w:rsidR="00A77BBD" w:rsidRDefault="00A77BBD" w:rsidP="00F67574">
      <w:pPr>
        <w:pStyle w:val="Heading2"/>
      </w:pPr>
      <w:r>
        <w:t>The Opioid Crisis</w:t>
      </w:r>
    </w:p>
    <w:p w14:paraId="5278CC24" w14:textId="6EE4FB8A" w:rsidR="00A77BBD" w:rsidRDefault="00A77BBD" w:rsidP="00A77BBD">
      <w:pPr>
        <w:pStyle w:val="BodyTextFirstIndent"/>
      </w:pPr>
      <w:r>
        <w:rPr>
          <w:color w:val="000000"/>
        </w:rPr>
        <w:t xml:space="preserve">But </w:t>
      </w:r>
      <w:r w:rsidR="00E82FD6">
        <w:rPr>
          <w:color w:val="000000"/>
        </w:rPr>
        <w:t>Oxy</w:t>
      </w:r>
      <w:r w:rsidR="00B747C6">
        <w:rPr>
          <w:color w:val="000000"/>
        </w:rPr>
        <w:t>con</w:t>
      </w:r>
      <w:r w:rsidR="008B54D4">
        <w:rPr>
          <w:color w:val="000000"/>
        </w:rPr>
        <w:t>’</w:t>
      </w:r>
      <w:r>
        <w:rPr>
          <w:color w:val="000000"/>
        </w:rPr>
        <w:t>s popularity as a pain reliever coincided with the scourge of widespread abuse of the drug around the country</w:t>
      </w:r>
      <w:r w:rsidR="00EA0E81">
        <w:rPr>
          <w:color w:val="000000"/>
        </w:rPr>
        <w:t xml:space="preserve">. </w:t>
      </w:r>
      <w:r>
        <w:rPr>
          <w:color w:val="000000"/>
        </w:rPr>
        <w:t xml:space="preserve">Many individuals who had been prescribed </w:t>
      </w:r>
      <w:r w:rsidR="00E82FD6">
        <w:rPr>
          <w:color w:val="000000"/>
        </w:rPr>
        <w:t>Oxy</w:t>
      </w:r>
      <w:r w:rsidR="00B747C6">
        <w:rPr>
          <w:color w:val="000000"/>
        </w:rPr>
        <w:t>con</w:t>
      </w:r>
      <w:r>
        <w:rPr>
          <w:color w:val="000000"/>
        </w:rPr>
        <w:t xml:space="preserve"> by their doctors for legitimate pain conditions became addicted to the drug</w:t>
      </w:r>
      <w:r w:rsidR="006A227C">
        <w:rPr>
          <w:color w:val="000000"/>
        </w:rPr>
        <w:t xml:space="preserve">.  </w:t>
      </w:r>
      <w:r>
        <w:rPr>
          <w:color w:val="000000"/>
        </w:rPr>
        <w:t>And hundreds of thousands of seasoned addicts and novice drug abusers</w:t>
      </w:r>
      <w:r w:rsidR="008B54D4">
        <w:rPr>
          <w:color w:val="000000"/>
        </w:rPr>
        <w:t>,</w:t>
      </w:r>
      <w:r>
        <w:rPr>
          <w:color w:val="000000"/>
        </w:rPr>
        <w:t xml:space="preserve"> including teenagers</w:t>
      </w:r>
      <w:r w:rsidR="008B54D4">
        <w:rPr>
          <w:color w:val="000000"/>
        </w:rPr>
        <w:t>,</w:t>
      </w:r>
      <w:r>
        <w:rPr>
          <w:color w:val="000000"/>
        </w:rPr>
        <w:t xml:space="preserve"> quickly discovered that crushing an </w:t>
      </w:r>
      <w:r w:rsidR="00E82FD6">
        <w:rPr>
          <w:color w:val="000000"/>
        </w:rPr>
        <w:t>Oxy</w:t>
      </w:r>
      <w:r w:rsidR="00B747C6">
        <w:rPr>
          <w:color w:val="000000"/>
        </w:rPr>
        <w:t>con</w:t>
      </w:r>
      <w:r>
        <w:rPr>
          <w:color w:val="000000"/>
        </w:rPr>
        <w:t xml:space="preserve"> tablet and then snorting or injecting it resulted in a quick “morphine-like high</w:t>
      </w:r>
      <w:r w:rsidR="00EA0E81">
        <w:rPr>
          <w:color w:val="000000"/>
        </w:rPr>
        <w:t>.”</w:t>
      </w:r>
    </w:p>
    <w:p w14:paraId="37D8A182" w14:textId="19A8C84A" w:rsidR="00E80635" w:rsidRDefault="00A77BBD" w:rsidP="00A77BBD">
      <w:pPr>
        <w:pStyle w:val="BodyTextFirstIndent"/>
        <w:rPr>
          <w:color w:val="000000"/>
        </w:rPr>
      </w:pPr>
      <w:r>
        <w:rPr>
          <w:color w:val="000000"/>
        </w:rPr>
        <w:t>By the early 2000</w:t>
      </w:r>
      <w:r w:rsidR="008B54D4">
        <w:rPr>
          <w:color w:val="000000"/>
        </w:rPr>
        <w:t>’</w:t>
      </w:r>
      <w:r>
        <w:rPr>
          <w:color w:val="000000"/>
        </w:rPr>
        <w:t>s</w:t>
      </w:r>
      <w:r w:rsidR="008B54D4">
        <w:rPr>
          <w:color w:val="000000"/>
        </w:rPr>
        <w:t>,</w:t>
      </w:r>
      <w:r>
        <w:rPr>
          <w:color w:val="000000"/>
        </w:rPr>
        <w:t xml:space="preserve"> rates of opioid addiction in connection with </w:t>
      </w:r>
      <w:r w:rsidR="00E82FD6">
        <w:rPr>
          <w:color w:val="000000"/>
        </w:rPr>
        <w:t>Oxy</w:t>
      </w:r>
      <w:r w:rsidR="00B747C6">
        <w:rPr>
          <w:color w:val="000000"/>
        </w:rPr>
        <w:t>con</w:t>
      </w:r>
      <w:r>
        <w:rPr>
          <w:color w:val="000000"/>
        </w:rPr>
        <w:t xml:space="preserve"> use were skyrocketing throughout the country</w:t>
      </w:r>
      <w:r w:rsidR="006A227C">
        <w:rPr>
          <w:color w:val="000000"/>
        </w:rPr>
        <w:t xml:space="preserve">.  </w:t>
      </w:r>
      <w:r>
        <w:rPr>
          <w:color w:val="000000"/>
        </w:rPr>
        <w:t>In the early years</w:t>
      </w:r>
      <w:r w:rsidR="008B54D4">
        <w:rPr>
          <w:color w:val="000000"/>
        </w:rPr>
        <w:t>,</w:t>
      </w:r>
      <w:r w:rsidR="00E80635">
        <w:rPr>
          <w:color w:val="000000"/>
        </w:rPr>
        <w:t xml:space="preserve"> </w:t>
      </w:r>
      <w:r>
        <w:rPr>
          <w:color w:val="000000"/>
        </w:rPr>
        <w:t>“remote</w:t>
      </w:r>
      <w:r w:rsidR="008B54D4">
        <w:rPr>
          <w:color w:val="000000"/>
        </w:rPr>
        <w:t>,</w:t>
      </w:r>
      <w:r>
        <w:rPr>
          <w:color w:val="000000"/>
        </w:rPr>
        <w:t xml:space="preserve"> rural areas” were particularly hard hit</w:t>
      </w:r>
      <w:r w:rsidR="008B54D4">
        <w:rPr>
          <w:color w:val="000000"/>
        </w:rPr>
        <w:t>,</w:t>
      </w:r>
      <w:r>
        <w:rPr>
          <w:color w:val="000000"/>
        </w:rPr>
        <w:t xml:space="preserve"> due in part to the fact that these areas are</w:t>
      </w:r>
    </w:p>
    <w:p w14:paraId="48FA40BC" w14:textId="2C1EE234" w:rsidR="00A77BBD" w:rsidRDefault="00A77BBD" w:rsidP="008E21E5">
      <w:pPr>
        <w:pStyle w:val="BlockText"/>
      </w:pPr>
      <w:r>
        <w:t>home to large populations of disabled and chronically ill people who are in need of pain relief; they</w:t>
      </w:r>
      <w:r w:rsidR="008B54D4">
        <w:t>’</w:t>
      </w:r>
      <w:r>
        <w:t>re marked by high unemployment and a lack of economic opportunity; they</w:t>
      </w:r>
      <w:r w:rsidR="008B54D4">
        <w:t>’</w:t>
      </w:r>
      <w:r>
        <w:t>re remote</w:t>
      </w:r>
      <w:r w:rsidR="008B54D4">
        <w:t>,</w:t>
      </w:r>
      <w:r>
        <w:t xml:space="preserve"> far from the network of Interstates and metropolises through which heroin and cocaine travel; and they</w:t>
      </w:r>
      <w:r w:rsidR="008B54D4">
        <w:t>’</w:t>
      </w:r>
      <w:r>
        <w:t>re areas where prescription drugs have been abused—though in much smaller numbers—in the past.</w:t>
      </w:r>
    </w:p>
    <w:p w14:paraId="43923B59" w14:textId="559AD736" w:rsidR="00A77BBD" w:rsidRDefault="00A77BBD" w:rsidP="00E80635">
      <w:pPr>
        <w:pStyle w:val="BodyTextFirstIndent"/>
        <w:ind w:firstLine="0"/>
      </w:pPr>
      <w:r>
        <w:rPr>
          <w:i/>
          <w:iCs/>
          <w:color w:val="000000"/>
        </w:rPr>
        <w:t>Foister</w:t>
      </w:r>
      <w:r w:rsidR="00E150C1">
        <w:rPr>
          <w:i/>
          <w:iCs/>
          <w:color w:val="000000"/>
        </w:rPr>
        <w:t xml:space="preserve"> v. </w:t>
      </w:r>
      <w:r w:rsidR="006239B5">
        <w:rPr>
          <w:i/>
          <w:iCs/>
          <w:color w:val="000000"/>
        </w:rPr>
        <w:t>Oxy</w:t>
      </w:r>
      <w:r>
        <w:rPr>
          <w:i/>
          <w:iCs/>
          <w:color w:val="000000"/>
        </w:rPr>
        <w:t xml:space="preserve"> Pharma</w:t>
      </w:r>
      <w:r w:rsidR="008B54D4">
        <w:rPr>
          <w:i/>
          <w:iCs/>
          <w:color w:val="000000"/>
        </w:rPr>
        <w:t>,</w:t>
      </w:r>
      <w:r>
        <w:rPr>
          <w:i/>
          <w:iCs/>
          <w:color w:val="000000"/>
        </w:rPr>
        <w:t xml:space="preserve"> L.P</w:t>
      </w:r>
      <w:r>
        <w:rPr>
          <w:color w:val="000000"/>
        </w:rPr>
        <w:t>.</w:t>
      </w:r>
      <w:r w:rsidR="008B54D4">
        <w:rPr>
          <w:color w:val="000000"/>
        </w:rPr>
        <w:t>,</w:t>
      </w:r>
      <w:r>
        <w:rPr>
          <w:color w:val="000000"/>
        </w:rPr>
        <w:t xml:space="preserve"> </w:t>
      </w:r>
      <w:hyperlink r:id="rId10" w:history="1">
        <w:r>
          <w:rPr>
            <w:color w:val="000000"/>
          </w:rPr>
          <w:t>295 F</w:t>
        </w:r>
        <w:r w:rsidR="006A227C">
          <w:rPr>
            <w:color w:val="000000"/>
          </w:rPr>
          <w:t xml:space="preserve">. </w:t>
        </w:r>
        <w:r>
          <w:rPr>
            <w:color w:val="000000"/>
          </w:rPr>
          <w:t>Supp</w:t>
        </w:r>
        <w:r w:rsidR="006A227C">
          <w:rPr>
            <w:color w:val="000000"/>
          </w:rPr>
          <w:t xml:space="preserve">. </w:t>
        </w:r>
        <w:r>
          <w:rPr>
            <w:color w:val="000000"/>
          </w:rPr>
          <w:t>2d 693</w:t>
        </w:r>
        <w:r w:rsidR="008B54D4">
          <w:rPr>
            <w:color w:val="000000"/>
          </w:rPr>
          <w:t>,</w:t>
        </w:r>
        <w:r>
          <w:rPr>
            <w:color w:val="000000"/>
          </w:rPr>
          <w:t xml:space="preserve"> 696 </w:t>
        </w:r>
      </w:hyperlink>
      <w:r>
        <w:rPr>
          <w:color w:val="000000"/>
        </w:rPr>
        <w:t>(E.D</w:t>
      </w:r>
      <w:r w:rsidR="006A227C">
        <w:rPr>
          <w:color w:val="000000"/>
        </w:rPr>
        <w:t xml:space="preserve">. </w:t>
      </w:r>
      <w:r>
        <w:rPr>
          <w:color w:val="000000"/>
        </w:rPr>
        <w:t>Ky</w:t>
      </w:r>
      <w:r w:rsidR="006A227C">
        <w:rPr>
          <w:color w:val="000000"/>
        </w:rPr>
        <w:t xml:space="preserve">. </w:t>
      </w:r>
      <w:r>
        <w:rPr>
          <w:color w:val="000000"/>
        </w:rPr>
        <w:t>2003) (quotation and internal citation omitted).</w:t>
      </w:r>
    </w:p>
    <w:p w14:paraId="5BFB9102" w14:textId="156907A9" w:rsidR="00A77BBD" w:rsidRDefault="00A77BBD" w:rsidP="00A77BBD">
      <w:pPr>
        <w:pStyle w:val="BodyTextFirstIndent"/>
      </w:pPr>
      <w:r>
        <w:rPr>
          <w:color w:val="000000"/>
        </w:rPr>
        <w:t>However</w:t>
      </w:r>
      <w:r w:rsidR="008B54D4">
        <w:rPr>
          <w:color w:val="000000"/>
        </w:rPr>
        <w:t>,</w:t>
      </w:r>
      <w:r>
        <w:rPr>
          <w:color w:val="000000"/>
        </w:rPr>
        <w:t xml:space="preserve"> the crisis was not limited to one type of community or part of the country</w:t>
      </w:r>
      <w:r w:rsidR="006A227C">
        <w:rPr>
          <w:color w:val="000000"/>
        </w:rPr>
        <w:t xml:space="preserve">.  </w:t>
      </w:r>
      <w:r>
        <w:rPr>
          <w:color w:val="000000"/>
        </w:rPr>
        <w:t>Pill mills opened in urban areas</w:t>
      </w:r>
      <w:r w:rsidR="008B54D4">
        <w:rPr>
          <w:color w:val="000000"/>
        </w:rPr>
        <w:t>,</w:t>
      </w:r>
      <w:r>
        <w:rPr>
          <w:color w:val="000000"/>
        </w:rPr>
        <w:t xml:space="preserve"> as unscrupulous physicians began writing prescriptions for </w:t>
      </w:r>
      <w:r w:rsidR="00E82FD6">
        <w:rPr>
          <w:color w:val="000000"/>
        </w:rPr>
        <w:t>Oxy</w:t>
      </w:r>
      <w:r w:rsidR="00B747C6">
        <w:rPr>
          <w:color w:val="000000"/>
        </w:rPr>
        <w:t>con</w:t>
      </w:r>
      <w:r>
        <w:rPr>
          <w:color w:val="000000"/>
        </w:rPr>
        <w:t xml:space="preserve"> to stooge purchasers (often drug addicts themselves)</w:t>
      </w:r>
      <w:r w:rsidR="008B54D4">
        <w:rPr>
          <w:color w:val="000000"/>
        </w:rPr>
        <w:t>,</w:t>
      </w:r>
      <w:r>
        <w:rPr>
          <w:color w:val="000000"/>
        </w:rPr>
        <w:t xml:space="preserve"> who were recruited to obtain and fill prescriptions</w:t>
      </w:r>
      <w:r w:rsidR="008B54D4">
        <w:rPr>
          <w:color w:val="000000"/>
        </w:rPr>
        <w:t>,</w:t>
      </w:r>
      <w:r>
        <w:rPr>
          <w:color w:val="000000"/>
        </w:rPr>
        <w:t xml:space="preserve"> turning over the pills to drug dealers</w:t>
      </w:r>
      <w:r w:rsidR="008B54D4">
        <w:rPr>
          <w:color w:val="000000"/>
        </w:rPr>
        <w:t>,</w:t>
      </w:r>
      <w:r>
        <w:rPr>
          <w:color w:val="000000"/>
        </w:rPr>
        <w:t xml:space="preserve"> who resold them on the street</w:t>
      </w:r>
      <w:r w:rsidR="008B54D4">
        <w:rPr>
          <w:color w:val="000000"/>
        </w:rPr>
        <w:t>,</w:t>
      </w:r>
      <w:r>
        <w:rPr>
          <w:color w:val="000000"/>
        </w:rPr>
        <w:t xml:space="preserve"> making astronomical profits</w:t>
      </w:r>
      <w:r w:rsidR="00EA0E81">
        <w:rPr>
          <w:color w:val="000000"/>
        </w:rPr>
        <w:t xml:space="preserve">. </w:t>
      </w:r>
      <w:r>
        <w:rPr>
          <w:color w:val="000000"/>
        </w:rPr>
        <w:t>This Court presided over the criminal trial of a doctor who ran such a pill mill in Hamilton Heights on the Upper West Side of Manhattan</w:t>
      </w:r>
      <w:r w:rsidR="008B54D4">
        <w:rPr>
          <w:color w:val="000000"/>
        </w:rPr>
        <w:t>,</w:t>
      </w:r>
      <w:r>
        <w:rPr>
          <w:color w:val="000000"/>
        </w:rPr>
        <w:t xml:space="preserve"> through which he garnered millions of dollars in ill-gotten gains at the expense of desperate people who were addicted to </w:t>
      </w:r>
      <w:r w:rsidR="00E82FD6">
        <w:rPr>
          <w:color w:val="000000"/>
        </w:rPr>
        <w:t>Oxy</w:t>
      </w:r>
      <w:r w:rsidR="00B747C6">
        <w:rPr>
          <w:color w:val="000000"/>
        </w:rPr>
        <w:t>con</w:t>
      </w:r>
      <w:r w:rsidR="006A227C">
        <w:rPr>
          <w:color w:val="000000"/>
        </w:rPr>
        <w:t xml:space="preserve">.  </w:t>
      </w:r>
      <w:r>
        <w:rPr>
          <w:i/>
          <w:iCs/>
          <w:color w:val="000000"/>
        </w:rPr>
        <w:t>See United States</w:t>
      </w:r>
      <w:r w:rsidR="00E150C1">
        <w:rPr>
          <w:i/>
          <w:iCs/>
          <w:color w:val="000000"/>
        </w:rPr>
        <w:t xml:space="preserve"> v. </w:t>
      </w:r>
      <w:r w:rsidR="00EA0E81">
        <w:rPr>
          <w:i/>
          <w:iCs/>
          <w:color w:val="000000"/>
        </w:rPr>
        <w:t>L</w:t>
      </w:r>
      <w:r>
        <w:rPr>
          <w:i/>
          <w:iCs/>
          <w:color w:val="000000"/>
        </w:rPr>
        <w:t>ashvili</w:t>
      </w:r>
      <w:r w:rsidR="008B54D4">
        <w:rPr>
          <w:color w:val="000000"/>
        </w:rPr>
        <w:t>,</w:t>
      </w:r>
      <w:r>
        <w:rPr>
          <w:color w:val="000000"/>
        </w:rPr>
        <w:t xml:space="preserve"> No</w:t>
      </w:r>
      <w:r w:rsidR="006A227C">
        <w:rPr>
          <w:color w:val="000000"/>
        </w:rPr>
        <w:t xml:space="preserve">. </w:t>
      </w:r>
      <w:r>
        <w:rPr>
          <w:color w:val="000000"/>
        </w:rPr>
        <w:t>14-cr-0810 (CM)</w:t>
      </w:r>
      <w:r w:rsidR="008B54D4">
        <w:rPr>
          <w:color w:val="000000"/>
        </w:rPr>
        <w:t>,</w:t>
      </w:r>
      <w:r>
        <w:rPr>
          <w:color w:val="000000"/>
        </w:rPr>
        <w:t xml:space="preserve"> </w:t>
      </w:r>
      <w:hyperlink r:id="rId11" w:history="1">
        <w:r w:rsidR="002F4854">
          <w:rPr>
            <w:color w:val="000000"/>
          </w:rPr>
          <w:t xml:space="preserve">Dkt. </w:t>
        </w:r>
        <w:r>
          <w:rPr>
            <w:color w:val="000000"/>
          </w:rPr>
          <w:t>No</w:t>
        </w:r>
        <w:r w:rsidR="006A227C">
          <w:rPr>
            <w:color w:val="000000"/>
          </w:rPr>
          <w:t xml:space="preserve">. </w:t>
        </w:r>
        <w:r>
          <w:rPr>
            <w:color w:val="000000"/>
          </w:rPr>
          <w:t>1</w:t>
        </w:r>
      </w:hyperlink>
      <w:r>
        <w:rPr>
          <w:color w:val="000000"/>
        </w:rPr>
        <w:t xml:space="preserve"> (S.D.N.Y</w:t>
      </w:r>
      <w:r w:rsidR="006A227C">
        <w:rPr>
          <w:color w:val="000000"/>
        </w:rPr>
        <w:t xml:space="preserve">. </w:t>
      </w:r>
      <w:r>
        <w:rPr>
          <w:color w:val="000000"/>
        </w:rPr>
        <w:t>Dec</w:t>
      </w:r>
      <w:r w:rsidR="006A227C">
        <w:rPr>
          <w:color w:val="000000"/>
        </w:rPr>
        <w:t xml:space="preserve">. </w:t>
      </w:r>
      <w:r>
        <w:rPr>
          <w:color w:val="000000"/>
        </w:rPr>
        <w:t>9</w:t>
      </w:r>
      <w:r w:rsidR="008B54D4">
        <w:rPr>
          <w:color w:val="000000"/>
        </w:rPr>
        <w:t>,</w:t>
      </w:r>
      <w:r>
        <w:rPr>
          <w:color w:val="000000"/>
        </w:rPr>
        <w:t xml:space="preserve"> 2014).</w:t>
      </w:r>
    </w:p>
    <w:p w14:paraId="06BFD517" w14:textId="6658CA62" w:rsidR="00A77BBD" w:rsidRDefault="00A77BBD" w:rsidP="00A77BBD">
      <w:pPr>
        <w:pStyle w:val="BodyTextFirstIndent"/>
      </w:pPr>
      <w:r>
        <w:rPr>
          <w:color w:val="000000"/>
        </w:rPr>
        <w:t>Prosecutions like the one of Dr</w:t>
      </w:r>
      <w:r w:rsidR="006A227C">
        <w:rPr>
          <w:color w:val="000000"/>
        </w:rPr>
        <w:t xml:space="preserve">. </w:t>
      </w:r>
      <w:r w:rsidR="00EA0E81">
        <w:rPr>
          <w:color w:val="000000"/>
        </w:rPr>
        <w:t>L</w:t>
      </w:r>
      <w:r>
        <w:rPr>
          <w:color w:val="000000"/>
        </w:rPr>
        <w:t>ashvili</w:t>
      </w:r>
      <w:r w:rsidR="008B54D4">
        <w:rPr>
          <w:color w:val="000000"/>
        </w:rPr>
        <w:t>,</w:t>
      </w:r>
      <w:r>
        <w:rPr>
          <w:color w:val="000000"/>
        </w:rPr>
        <w:t xml:space="preserve"> coupled with enhanced regulatory oversight over both prescribers of opioids and pharmacies that had filled suspiciously high numbers of prescriptions</w:t>
      </w:r>
      <w:r w:rsidR="008B54D4">
        <w:rPr>
          <w:color w:val="000000"/>
        </w:rPr>
        <w:t>,</w:t>
      </w:r>
      <w:r>
        <w:rPr>
          <w:color w:val="000000"/>
        </w:rPr>
        <w:t xml:space="preserve"> reduced the number of illicit prescriptions of </w:t>
      </w:r>
      <w:r w:rsidR="00E82FD6">
        <w:rPr>
          <w:color w:val="000000"/>
        </w:rPr>
        <w:t>Oxy</w:t>
      </w:r>
      <w:r w:rsidR="00B747C6">
        <w:rPr>
          <w:color w:val="000000"/>
        </w:rPr>
        <w:t>con</w:t>
      </w:r>
      <w:r w:rsidR="006A227C">
        <w:rPr>
          <w:color w:val="000000"/>
        </w:rPr>
        <w:t xml:space="preserve">.  </w:t>
      </w:r>
      <w:r>
        <w:rPr>
          <w:color w:val="000000"/>
        </w:rPr>
        <w:t>But drying up the source</w:t>
      </w:r>
      <w:r w:rsidR="006A227C">
        <w:rPr>
          <w:color w:val="000000"/>
        </w:rPr>
        <w:t xml:space="preserve"> </w:t>
      </w:r>
      <w:r>
        <w:rPr>
          <w:color w:val="000000"/>
        </w:rPr>
        <w:t>did not end the problem of addiction</w:t>
      </w:r>
      <w:r w:rsidR="006A227C">
        <w:rPr>
          <w:color w:val="000000"/>
        </w:rPr>
        <w:t xml:space="preserve">.  </w:t>
      </w:r>
      <w:r>
        <w:rPr>
          <w:color w:val="000000"/>
        </w:rPr>
        <w:t xml:space="preserve">Individuals who had been feeding an </w:t>
      </w:r>
      <w:r w:rsidR="00E82FD6">
        <w:rPr>
          <w:color w:val="000000"/>
        </w:rPr>
        <w:t>Oxy</w:t>
      </w:r>
      <w:r w:rsidR="00B747C6">
        <w:rPr>
          <w:color w:val="000000"/>
        </w:rPr>
        <w:t>con</w:t>
      </w:r>
      <w:r>
        <w:rPr>
          <w:color w:val="000000"/>
        </w:rPr>
        <w:t xml:space="preserve"> habit turned to alternative sources to get their fix - including street drugs like heroin and its even stronger and more lethal cousin</w:t>
      </w:r>
      <w:r w:rsidR="008B54D4">
        <w:rPr>
          <w:color w:val="000000"/>
        </w:rPr>
        <w:t>,</w:t>
      </w:r>
      <w:r>
        <w:rPr>
          <w:color w:val="000000"/>
        </w:rPr>
        <w:t xml:space="preserve"> fentanyl</w:t>
      </w:r>
      <w:r w:rsidR="008B54D4">
        <w:rPr>
          <w:color w:val="000000"/>
        </w:rPr>
        <w:t>,</w:t>
      </w:r>
      <w:r>
        <w:rPr>
          <w:color w:val="000000"/>
        </w:rPr>
        <w:t xml:space="preserve"> which is fast acting and 100 times more potent than morphine</w:t>
      </w:r>
      <w:r w:rsidR="006A227C">
        <w:rPr>
          <w:color w:val="000000"/>
        </w:rPr>
        <w:t xml:space="preserve">.  </w:t>
      </w:r>
      <w:r>
        <w:rPr>
          <w:color w:val="000000"/>
        </w:rPr>
        <w:t>The recent increase in overdose deaths in this country is driven in significant part by the increasingly widespread use of fentanyl</w:t>
      </w:r>
      <w:r w:rsidR="006A227C">
        <w:rPr>
          <w:color w:val="000000"/>
        </w:rPr>
        <w:t xml:space="preserve">.  </w:t>
      </w:r>
    </w:p>
    <w:p w14:paraId="085E8124" w14:textId="459D6F98" w:rsidR="00A77BBD" w:rsidRDefault="00A77BBD" w:rsidP="00A77BBD">
      <w:pPr>
        <w:pStyle w:val="BodyTextFirstIndent"/>
      </w:pPr>
      <w:r>
        <w:rPr>
          <w:color w:val="000000"/>
        </w:rPr>
        <w:t>In 2017</w:t>
      </w:r>
      <w:r w:rsidR="008B54D4">
        <w:rPr>
          <w:color w:val="000000"/>
        </w:rPr>
        <w:t>,</w:t>
      </w:r>
      <w:r>
        <w:rPr>
          <w:color w:val="000000"/>
        </w:rPr>
        <w:t xml:space="preserve"> the </w:t>
      </w:r>
      <w:r w:rsidR="002F10FB">
        <w:rPr>
          <w:color w:val="000000"/>
        </w:rPr>
        <w:t xml:space="preserve">U.S. </w:t>
      </w:r>
      <w:r>
        <w:rPr>
          <w:color w:val="000000"/>
        </w:rPr>
        <w:t>Department of Health and Human Services (“DHHS”) declared the opioid epidemic to be a national public health emergency.</w:t>
      </w:r>
      <w:r w:rsidR="002E3DAF">
        <w:rPr>
          <w:color w:val="000000"/>
        </w:rPr>
        <w:t xml:space="preserve"> </w:t>
      </w:r>
      <w:r>
        <w:rPr>
          <w:color w:val="000000"/>
        </w:rPr>
        <w:t>According to the Centers for Disease Control and Prevention</w:t>
      </w:r>
      <w:r w:rsidR="008B54D4">
        <w:rPr>
          <w:color w:val="000000"/>
        </w:rPr>
        <w:t>,</w:t>
      </w:r>
      <w:r>
        <w:rPr>
          <w:color w:val="000000"/>
        </w:rPr>
        <w:t xml:space="preserve"> from 1999 to 2019</w:t>
      </w:r>
      <w:r w:rsidR="008B54D4">
        <w:rPr>
          <w:color w:val="000000"/>
        </w:rPr>
        <w:t>,</w:t>
      </w:r>
      <w:r>
        <w:rPr>
          <w:color w:val="000000"/>
        </w:rPr>
        <w:t xml:space="preserve"> nearly 247</w:t>
      </w:r>
      <w:r w:rsidR="008B54D4">
        <w:rPr>
          <w:color w:val="000000"/>
        </w:rPr>
        <w:t>,</w:t>
      </w:r>
      <w:r>
        <w:rPr>
          <w:color w:val="000000"/>
        </w:rPr>
        <w:t xml:space="preserve">000 people died in the United States from overdoses involving prescription opioids. </w:t>
      </w:r>
      <w:r w:rsidR="002E3DAF">
        <w:rPr>
          <w:color w:val="000000"/>
        </w:rPr>
        <w:t xml:space="preserve"> </w:t>
      </w:r>
      <w:r>
        <w:rPr>
          <w:color w:val="000000"/>
        </w:rPr>
        <w:t>DHHS estimates the “economic burden” of prescription opioid misuse in the United States is between $53-72 billion a year</w:t>
      </w:r>
      <w:r w:rsidR="008B54D4">
        <w:rPr>
          <w:color w:val="000000"/>
        </w:rPr>
        <w:t>,</w:t>
      </w:r>
      <w:r>
        <w:rPr>
          <w:color w:val="000000"/>
        </w:rPr>
        <w:t xml:space="preserve"> including medical costs</w:t>
      </w:r>
      <w:r w:rsidR="008B54D4">
        <w:rPr>
          <w:color w:val="000000"/>
        </w:rPr>
        <w:t>,</w:t>
      </w:r>
      <w:r>
        <w:rPr>
          <w:color w:val="000000"/>
        </w:rPr>
        <w:t xml:space="preserve"> lost work productivity</w:t>
      </w:r>
      <w:r w:rsidR="008B54D4">
        <w:rPr>
          <w:color w:val="000000"/>
        </w:rPr>
        <w:t>,</w:t>
      </w:r>
      <w:r>
        <w:rPr>
          <w:color w:val="000000"/>
        </w:rPr>
        <w:t xml:space="preserve"> addiction treatment</w:t>
      </w:r>
      <w:r w:rsidR="008B54D4">
        <w:rPr>
          <w:color w:val="000000"/>
        </w:rPr>
        <w:t>,</w:t>
      </w:r>
      <w:r>
        <w:rPr>
          <w:color w:val="000000"/>
        </w:rPr>
        <w:t xml:space="preserve"> and criminal justice costs.</w:t>
      </w:r>
    </w:p>
    <w:p w14:paraId="2C8CF4E2" w14:textId="597AF64F" w:rsidR="00A77BBD" w:rsidRDefault="00A77BBD" w:rsidP="00A77BBD">
      <w:pPr>
        <w:pStyle w:val="BodyTextFirstIndent"/>
      </w:pPr>
      <w:r>
        <w:rPr>
          <w:color w:val="000000"/>
        </w:rPr>
        <w:t>Today</w:t>
      </w:r>
      <w:r w:rsidR="008B54D4">
        <w:rPr>
          <w:color w:val="000000"/>
        </w:rPr>
        <w:t>,</w:t>
      </w:r>
      <w:r>
        <w:rPr>
          <w:color w:val="000000"/>
        </w:rPr>
        <w:t xml:space="preserve"> it is estimated that between 21-29% of patients who are prescribed opioids for chronic pain misuse them</w:t>
      </w:r>
      <w:r w:rsidR="00556903">
        <w:rPr>
          <w:color w:val="000000"/>
        </w:rPr>
        <w:t>.</w:t>
      </w:r>
      <w:r>
        <w:rPr>
          <w:color w:val="000000"/>
        </w:rPr>
        <w:t xml:space="preserve"> </w:t>
      </w:r>
      <w:r w:rsidR="002E3DAF">
        <w:rPr>
          <w:color w:val="000000"/>
        </w:rPr>
        <w:t xml:space="preserve"> </w:t>
      </w:r>
      <w:r>
        <w:rPr>
          <w:color w:val="000000"/>
        </w:rPr>
        <w:t>Between 8-12% of people who are using an opioid for chronic pain develop an opioid use disorder</w:t>
      </w:r>
      <w:r w:rsidR="006A227C">
        <w:rPr>
          <w:color w:val="000000"/>
        </w:rPr>
        <w:t xml:space="preserve">.  </w:t>
      </w:r>
      <w:r>
        <w:rPr>
          <w:color w:val="000000"/>
        </w:rPr>
        <w:t>An estimated 4-6% of those who misuse prescription opioids transition to using heroin</w:t>
      </w:r>
      <w:r w:rsidR="006A227C">
        <w:rPr>
          <w:color w:val="000000"/>
        </w:rPr>
        <w:t xml:space="preserve">.  </w:t>
      </w:r>
      <w:r>
        <w:rPr>
          <w:color w:val="000000"/>
        </w:rPr>
        <w:t>About 80% of people who use heroin first misused prescription opioids</w:t>
      </w:r>
      <w:r w:rsidR="006A227C">
        <w:rPr>
          <w:color w:val="000000"/>
        </w:rPr>
        <w:t xml:space="preserve">.  </w:t>
      </w:r>
      <w:r w:rsidR="00E82FD6">
        <w:rPr>
          <w:color w:val="000000"/>
        </w:rPr>
        <w:t>Oxy</w:t>
      </w:r>
      <w:r w:rsidR="00B747C6">
        <w:rPr>
          <w:color w:val="000000"/>
        </w:rPr>
        <w:t>con</w:t>
      </w:r>
      <w:r w:rsidR="008B54D4">
        <w:rPr>
          <w:color w:val="000000"/>
        </w:rPr>
        <w:t>,</w:t>
      </w:r>
      <w:r>
        <w:rPr>
          <w:color w:val="000000"/>
        </w:rPr>
        <w:t xml:space="preserve"> it seems</w:t>
      </w:r>
      <w:r w:rsidR="008B54D4">
        <w:rPr>
          <w:color w:val="000000"/>
        </w:rPr>
        <w:t>,</w:t>
      </w:r>
      <w:r>
        <w:rPr>
          <w:color w:val="000000"/>
        </w:rPr>
        <w:t xml:space="preserve"> is the ultimate “gateway” drug.</w:t>
      </w:r>
    </w:p>
    <w:p w14:paraId="369B3B6C" w14:textId="24151C98" w:rsidR="00A77BBD" w:rsidRDefault="00A77BBD" w:rsidP="00D65960">
      <w:pPr>
        <w:pStyle w:val="Heading2"/>
      </w:pPr>
      <w:r>
        <w:t xml:space="preserve">Pre-Bankruptcy Litigation Involving </w:t>
      </w:r>
      <w:r w:rsidR="006239B5">
        <w:t>Oxy</w:t>
      </w:r>
      <w:r>
        <w:t xml:space="preserve"> and Members of the </w:t>
      </w:r>
      <w:r w:rsidR="00E82FD6">
        <w:t>Packler</w:t>
      </w:r>
      <w:r>
        <w:t xml:space="preserve"> Family</w:t>
      </w:r>
    </w:p>
    <w:p w14:paraId="7C437659" w14:textId="21254EAA" w:rsidR="00A77BBD" w:rsidRDefault="00A77BBD" w:rsidP="00A77BBD">
      <w:pPr>
        <w:pStyle w:val="BodyTextFirstIndent"/>
      </w:pPr>
      <w:r>
        <w:rPr>
          <w:color w:val="000000"/>
        </w:rPr>
        <w:t>With the swelling opioid crisis</w:t>
      </w:r>
      <w:r w:rsidR="008B54D4">
        <w:rPr>
          <w:color w:val="000000"/>
        </w:rPr>
        <w:t>,</w:t>
      </w:r>
      <w:r>
        <w:rPr>
          <w:color w:val="000000"/>
        </w:rPr>
        <w:t xml:space="preserve"> </w:t>
      </w:r>
      <w:r w:rsidR="006239B5">
        <w:rPr>
          <w:color w:val="000000"/>
        </w:rPr>
        <w:t>Oxy</w:t>
      </w:r>
      <w:r>
        <w:rPr>
          <w:color w:val="000000"/>
        </w:rPr>
        <w:t xml:space="preserve"> began to face inquiries about and investigations into </w:t>
      </w:r>
      <w:r w:rsidR="00E82FD6">
        <w:rPr>
          <w:color w:val="000000"/>
        </w:rPr>
        <w:t>Oxy</w:t>
      </w:r>
      <w:r w:rsidR="00B747C6">
        <w:rPr>
          <w:color w:val="000000"/>
        </w:rPr>
        <w:t>con</w:t>
      </w:r>
      <w:r>
        <w:rPr>
          <w:color w:val="000000"/>
        </w:rPr>
        <w:t>.</w:t>
      </w:r>
    </w:p>
    <w:p w14:paraId="4320258C" w14:textId="7BBDB90C" w:rsidR="00A77BBD" w:rsidRDefault="00A77BBD" w:rsidP="00A77BBD">
      <w:pPr>
        <w:pStyle w:val="BodyTextFirstIndent"/>
      </w:pPr>
      <w:r>
        <w:rPr>
          <w:color w:val="000000"/>
        </w:rPr>
        <w:t>In 2000</w:t>
      </w:r>
      <w:r w:rsidR="008B54D4">
        <w:rPr>
          <w:color w:val="000000"/>
        </w:rPr>
        <w:t>,</w:t>
      </w:r>
      <w:r>
        <w:rPr>
          <w:color w:val="000000"/>
        </w:rPr>
        <w:t xml:space="preserve"> the </w:t>
      </w:r>
      <w:r w:rsidR="002F10FB">
        <w:rPr>
          <w:color w:val="000000"/>
        </w:rPr>
        <w:t xml:space="preserve">U.S. </w:t>
      </w:r>
      <w:r>
        <w:rPr>
          <w:color w:val="000000"/>
        </w:rPr>
        <w:t>Attorney of Maine alerted the company to widespread abuse of the drug in rural Maine</w:t>
      </w:r>
      <w:r w:rsidR="006A227C">
        <w:rPr>
          <w:color w:val="000000"/>
        </w:rPr>
        <w:t xml:space="preserve">.  </w:t>
      </w:r>
      <w:r>
        <w:rPr>
          <w:color w:val="000000"/>
        </w:rPr>
        <w:t>In 2001</w:t>
      </w:r>
      <w:r w:rsidR="008B54D4">
        <w:rPr>
          <w:color w:val="000000"/>
        </w:rPr>
        <w:t>,</w:t>
      </w:r>
      <w:r>
        <w:rPr>
          <w:color w:val="000000"/>
        </w:rPr>
        <w:t xml:space="preserve"> the Attorney General of Virginia Mark Earley requested a meeting with company officials regarding widespread abuse of the drug in Virginia</w:t>
      </w:r>
      <w:r w:rsidR="006A227C">
        <w:rPr>
          <w:color w:val="000000"/>
        </w:rPr>
        <w:t xml:space="preserve">.  </w:t>
      </w:r>
      <w:r>
        <w:rPr>
          <w:color w:val="000000"/>
        </w:rPr>
        <w:t>By 2002</w:t>
      </w:r>
      <w:r w:rsidR="008B54D4">
        <w:rPr>
          <w:color w:val="000000"/>
        </w:rPr>
        <w:t>,</w:t>
      </w:r>
      <w:r>
        <w:rPr>
          <w:color w:val="000000"/>
        </w:rPr>
        <w:t xml:space="preserve"> the then-</w:t>
      </w:r>
      <w:r w:rsidR="006239B5">
        <w:rPr>
          <w:color w:val="000000"/>
        </w:rPr>
        <w:t>Oxy</w:t>
      </w:r>
      <w:r>
        <w:rPr>
          <w:color w:val="000000"/>
        </w:rPr>
        <w:t xml:space="preserve"> spokesman Tim Bannon confirmed that there were federal investigations into </w:t>
      </w:r>
      <w:r w:rsidR="006239B5">
        <w:rPr>
          <w:color w:val="000000"/>
        </w:rPr>
        <w:t>Oxy</w:t>
      </w:r>
      <w:r w:rsidR="008B54D4">
        <w:rPr>
          <w:color w:val="000000"/>
        </w:rPr>
        <w:t>’</w:t>
      </w:r>
      <w:r>
        <w:rPr>
          <w:color w:val="000000"/>
        </w:rPr>
        <w:t xml:space="preserve">s marketing of </w:t>
      </w:r>
      <w:r w:rsidR="00E82FD6">
        <w:rPr>
          <w:color w:val="000000"/>
        </w:rPr>
        <w:t>Oxy</w:t>
      </w:r>
      <w:r w:rsidR="00B747C6">
        <w:rPr>
          <w:color w:val="000000"/>
        </w:rPr>
        <w:t>con</w:t>
      </w:r>
      <w:r w:rsidR="006A227C">
        <w:rPr>
          <w:color w:val="000000"/>
        </w:rPr>
        <w:t xml:space="preserve">.  </w:t>
      </w:r>
    </w:p>
    <w:p w14:paraId="434D5762" w14:textId="75CF56D3" w:rsidR="00A77BBD" w:rsidRDefault="00A77BBD" w:rsidP="00A77BBD">
      <w:pPr>
        <w:pStyle w:val="BodyTextFirstIndent"/>
      </w:pPr>
      <w:r>
        <w:rPr>
          <w:color w:val="000000"/>
        </w:rPr>
        <w:t>Two decades of litigation</w:t>
      </w:r>
      <w:r w:rsidR="008B54D4">
        <w:rPr>
          <w:color w:val="000000"/>
        </w:rPr>
        <w:t>,</w:t>
      </w:r>
      <w:r>
        <w:rPr>
          <w:color w:val="000000"/>
        </w:rPr>
        <w:t xml:space="preserve"> both civil and criminal</w:t>
      </w:r>
      <w:r w:rsidR="008B54D4">
        <w:rPr>
          <w:color w:val="000000"/>
        </w:rPr>
        <w:t>,</w:t>
      </w:r>
      <w:r>
        <w:rPr>
          <w:color w:val="000000"/>
        </w:rPr>
        <w:t xml:space="preserve"> ensued.</w:t>
      </w:r>
    </w:p>
    <w:p w14:paraId="091E172F" w14:textId="3110C90B" w:rsidR="00A77BBD" w:rsidRDefault="00A77BBD" w:rsidP="005C3F70">
      <w:pPr>
        <w:pStyle w:val="Heading3"/>
      </w:pPr>
      <w:r>
        <w:t>The First Round of Lawsuit</w:t>
      </w:r>
      <w:r w:rsidR="00556903">
        <w:t>ss</w:t>
      </w:r>
      <w:r>
        <w:t>:  2001-2007</w:t>
      </w:r>
    </w:p>
    <w:p w14:paraId="626C0B9D" w14:textId="22923B0E" w:rsidR="00A77BBD" w:rsidRDefault="00A77BBD" w:rsidP="00A77BBD">
      <w:pPr>
        <w:pStyle w:val="BodyTextFirstIndent"/>
      </w:pPr>
      <w:r>
        <w:rPr>
          <w:color w:val="000000"/>
        </w:rPr>
        <w:t>By 2001</w:t>
      </w:r>
      <w:r w:rsidR="008B54D4">
        <w:rPr>
          <w:color w:val="000000"/>
        </w:rPr>
        <w:t>,</w:t>
      </w:r>
      <w:r>
        <w:rPr>
          <w:color w:val="000000"/>
        </w:rPr>
        <w:t xml:space="preserve"> plaintiffs across the country had begun to file individual and class actions against </w:t>
      </w:r>
      <w:r w:rsidR="006239B5">
        <w:rPr>
          <w:color w:val="000000"/>
        </w:rPr>
        <w:t>Oxy</w:t>
      </w:r>
      <w:r>
        <w:rPr>
          <w:color w:val="000000"/>
        </w:rPr>
        <w:t xml:space="preserve"> in state and federal courts</w:t>
      </w:r>
      <w:r w:rsidR="008B54D4">
        <w:rPr>
          <w:color w:val="000000"/>
        </w:rPr>
        <w:t>,</w:t>
      </w:r>
      <w:r>
        <w:rPr>
          <w:color w:val="000000"/>
        </w:rPr>
        <w:t xml:space="preserve"> including in the </w:t>
      </w:r>
      <w:r w:rsidR="002F10FB">
        <w:rPr>
          <w:color w:val="000000"/>
        </w:rPr>
        <w:t xml:space="preserve">U.S. </w:t>
      </w:r>
      <w:r>
        <w:rPr>
          <w:color w:val="000000"/>
        </w:rPr>
        <w:t>District Court for the Southern District of New York and in the Supreme Court of the State of New Yor</w:t>
      </w:r>
      <w:r w:rsidR="00556903">
        <w:rPr>
          <w:color w:val="000000"/>
        </w:rPr>
        <w:t>k.</w:t>
      </w:r>
      <w:r>
        <w:rPr>
          <w:color w:val="000000"/>
          <w:vertAlign w:val="superscript"/>
        </w:rPr>
        <w:t xml:space="preserve"> </w:t>
      </w:r>
      <w:r w:rsidR="003F38E7">
        <w:rPr>
          <w:rFonts w:eastAsia="Times New Roman" w:cs="Times New Roman"/>
          <w:color w:val="000000"/>
          <w:vertAlign w:val="superscript"/>
        </w:rPr>
        <w:t xml:space="preserve"> </w:t>
      </w:r>
      <w:r>
        <w:rPr>
          <w:color w:val="000000"/>
        </w:rPr>
        <w:t xml:space="preserve">Members of the </w:t>
      </w:r>
      <w:r w:rsidR="00E82FD6">
        <w:rPr>
          <w:color w:val="000000"/>
        </w:rPr>
        <w:t>Packler</w:t>
      </w:r>
      <w:r>
        <w:rPr>
          <w:color w:val="000000"/>
        </w:rPr>
        <w:t xml:space="preserve"> family were not named as defendants in these lawsuits</w:t>
      </w:r>
      <w:r w:rsidR="006A227C">
        <w:rPr>
          <w:color w:val="000000"/>
        </w:rPr>
        <w:t xml:space="preserve">.  </w:t>
      </w:r>
    </w:p>
    <w:p w14:paraId="66065FF2" w14:textId="1C583CCB" w:rsidR="00A77BBD" w:rsidRDefault="00A77BBD" w:rsidP="00A77BBD">
      <w:pPr>
        <w:pStyle w:val="BodyTextFirstIndent"/>
      </w:pPr>
      <w:r>
        <w:rPr>
          <w:color w:val="000000"/>
        </w:rPr>
        <w:t xml:space="preserve">Plaintiffs in early cases plead a variety of theories of liability pursuant to which </w:t>
      </w:r>
      <w:r w:rsidR="006239B5">
        <w:rPr>
          <w:color w:val="000000"/>
        </w:rPr>
        <w:t>Oxy</w:t>
      </w:r>
      <w:r>
        <w:rPr>
          <w:color w:val="000000"/>
        </w:rPr>
        <w:t xml:space="preserve"> could be held liable as a result of its development</w:t>
      </w:r>
      <w:r w:rsidR="008B54D4">
        <w:rPr>
          <w:color w:val="000000"/>
        </w:rPr>
        <w:t>,</w:t>
      </w:r>
      <w:r>
        <w:rPr>
          <w:color w:val="000000"/>
        </w:rPr>
        <w:t xml:space="preserve"> testing</w:t>
      </w:r>
      <w:r w:rsidR="008B54D4">
        <w:rPr>
          <w:color w:val="000000"/>
        </w:rPr>
        <w:t>,</w:t>
      </w:r>
      <w:r>
        <w:rPr>
          <w:color w:val="000000"/>
        </w:rPr>
        <w:t xml:space="preserve"> manufacturing</w:t>
      </w:r>
      <w:r w:rsidR="008B54D4">
        <w:rPr>
          <w:color w:val="000000"/>
        </w:rPr>
        <w:t>,</w:t>
      </w:r>
      <w:r>
        <w:rPr>
          <w:color w:val="000000"/>
        </w:rPr>
        <w:t xml:space="preserve"> distributing and marketing of </w:t>
      </w:r>
      <w:r w:rsidR="00E82FD6">
        <w:rPr>
          <w:color w:val="000000"/>
        </w:rPr>
        <w:t>Oxy</w:t>
      </w:r>
      <w:r w:rsidR="00B747C6">
        <w:rPr>
          <w:color w:val="000000"/>
        </w:rPr>
        <w:t>con</w:t>
      </w:r>
      <w:r w:rsidR="008B54D4">
        <w:rPr>
          <w:color w:val="000000"/>
        </w:rPr>
        <w:t>,</w:t>
      </w:r>
      <w:r>
        <w:rPr>
          <w:color w:val="000000"/>
        </w:rPr>
        <w:t xml:space="preserve"> including:  negligence</w:t>
      </w:r>
      <w:r w:rsidR="008B54D4">
        <w:rPr>
          <w:color w:val="000000"/>
        </w:rPr>
        <w:t>,</w:t>
      </w:r>
      <w:r>
        <w:rPr>
          <w:color w:val="000000"/>
        </w:rPr>
        <w:t xml:space="preserve"> strict product liability</w:t>
      </w:r>
      <w:r w:rsidR="008B54D4">
        <w:rPr>
          <w:color w:val="000000"/>
        </w:rPr>
        <w:t>,</w:t>
      </w:r>
      <w:r>
        <w:rPr>
          <w:color w:val="000000"/>
        </w:rPr>
        <w:t xml:space="preserve"> failure to warn</w:t>
      </w:r>
      <w:r w:rsidR="008B54D4">
        <w:rPr>
          <w:color w:val="000000"/>
        </w:rPr>
        <w:t>,</w:t>
      </w:r>
      <w:r>
        <w:rPr>
          <w:color w:val="000000"/>
        </w:rPr>
        <w:t xml:space="preserve"> breach of express and/or implied warranty</w:t>
      </w:r>
      <w:r w:rsidR="008B54D4">
        <w:rPr>
          <w:color w:val="000000"/>
        </w:rPr>
        <w:t>,</w:t>
      </w:r>
      <w:r>
        <w:rPr>
          <w:color w:val="000000"/>
        </w:rPr>
        <w:t xml:space="preserve"> violation of state consumer protection statutes</w:t>
      </w:r>
      <w:r w:rsidR="008B54D4">
        <w:rPr>
          <w:color w:val="000000"/>
        </w:rPr>
        <w:t>,</w:t>
      </w:r>
      <w:r>
        <w:rPr>
          <w:color w:val="000000"/>
        </w:rPr>
        <w:t xml:space="preserve"> conspiracy</w:t>
      </w:r>
      <w:r w:rsidR="008B54D4">
        <w:rPr>
          <w:color w:val="000000"/>
        </w:rPr>
        <w:t>,</w:t>
      </w:r>
      <w:r>
        <w:rPr>
          <w:color w:val="000000"/>
        </w:rPr>
        <w:t xml:space="preserve"> fraud</w:t>
      </w:r>
      <w:r w:rsidR="008B54D4">
        <w:rPr>
          <w:color w:val="000000"/>
        </w:rPr>
        <w:t>,</w:t>
      </w:r>
      <w:r>
        <w:rPr>
          <w:color w:val="000000"/>
        </w:rPr>
        <w:t xml:space="preserve"> and unjust enrichment</w:t>
      </w:r>
      <w:r w:rsidR="006A227C">
        <w:rPr>
          <w:color w:val="000000"/>
        </w:rPr>
        <w:t xml:space="preserve">.  </w:t>
      </w:r>
      <w:r>
        <w:rPr>
          <w:i/>
          <w:iCs/>
          <w:color w:val="000000"/>
        </w:rPr>
        <w:t>See e.g.</w:t>
      </w:r>
      <w:r w:rsidR="008B54D4">
        <w:rPr>
          <w:color w:val="000000"/>
        </w:rPr>
        <w:t>,</w:t>
      </w:r>
      <w:r>
        <w:rPr>
          <w:color w:val="000000"/>
        </w:rPr>
        <w:t xml:space="preserve"> </w:t>
      </w:r>
      <w:r w:rsidR="00556903">
        <w:rPr>
          <w:i/>
          <w:iCs/>
          <w:color w:val="000000"/>
        </w:rPr>
        <w:t>Paddin</w:t>
      </w:r>
      <w:r>
        <w:rPr>
          <w:i/>
          <w:iCs/>
          <w:color w:val="000000"/>
        </w:rPr>
        <w:t>gton</w:t>
      </w:r>
      <w:r w:rsidR="00E150C1">
        <w:rPr>
          <w:i/>
          <w:iCs/>
          <w:color w:val="000000"/>
        </w:rPr>
        <w:t xml:space="preserve"> v. </w:t>
      </w:r>
      <w:r w:rsidR="006239B5">
        <w:rPr>
          <w:i/>
          <w:iCs/>
          <w:color w:val="000000"/>
        </w:rPr>
        <w:t>Oxy</w:t>
      </w:r>
      <w:r>
        <w:rPr>
          <w:i/>
          <w:iCs/>
          <w:color w:val="000000"/>
        </w:rPr>
        <w:t xml:space="preserve"> Pharma LP</w:t>
      </w:r>
      <w:r w:rsidR="008B54D4">
        <w:rPr>
          <w:color w:val="000000"/>
        </w:rPr>
        <w:t>,</w:t>
      </w:r>
      <w:r>
        <w:rPr>
          <w:color w:val="000000"/>
        </w:rPr>
        <w:t xml:space="preserve"> </w:t>
      </w:r>
      <w:hyperlink r:id="rId12" w:history="1">
        <w:r>
          <w:rPr>
            <w:color w:val="000000"/>
          </w:rPr>
          <w:t>218 F.R.D</w:t>
        </w:r>
        <w:r w:rsidR="006A227C">
          <w:rPr>
            <w:color w:val="000000"/>
          </w:rPr>
          <w:t xml:space="preserve">. </w:t>
        </w:r>
        <w:r>
          <w:rPr>
            <w:color w:val="000000"/>
          </w:rPr>
          <w:t>577</w:t>
        </w:r>
        <w:r w:rsidR="008B54D4">
          <w:rPr>
            <w:color w:val="000000"/>
          </w:rPr>
          <w:t>,</w:t>
        </w:r>
        <w:r>
          <w:rPr>
            <w:color w:val="000000"/>
          </w:rPr>
          <w:t xml:space="preserve"> 581 </w:t>
        </w:r>
      </w:hyperlink>
      <w:r>
        <w:rPr>
          <w:color w:val="000000"/>
        </w:rPr>
        <w:t>n</w:t>
      </w:r>
      <w:r w:rsidR="006A227C">
        <w:rPr>
          <w:color w:val="000000"/>
        </w:rPr>
        <w:t xml:space="preserve">. </w:t>
      </w:r>
      <w:r>
        <w:rPr>
          <w:color w:val="000000"/>
        </w:rPr>
        <w:t>1 (S.D</w:t>
      </w:r>
      <w:r w:rsidR="006A227C">
        <w:rPr>
          <w:color w:val="000000"/>
        </w:rPr>
        <w:t xml:space="preserve">. </w:t>
      </w:r>
      <w:r>
        <w:rPr>
          <w:color w:val="000000"/>
        </w:rPr>
        <w:t>Ohio 2003).</w:t>
      </w:r>
    </w:p>
    <w:p w14:paraId="6EBC8C04" w14:textId="7A3079F3" w:rsidR="00A77BBD" w:rsidRDefault="00A77BBD" w:rsidP="00A77BBD">
      <w:pPr>
        <w:pStyle w:val="BodyTextFirstIndent"/>
      </w:pPr>
      <w:r>
        <w:rPr>
          <w:color w:val="000000"/>
        </w:rPr>
        <w:t xml:space="preserve">Many of the early cases filed were class actions that sought certification of classes of people who had been prescribed </w:t>
      </w:r>
      <w:r w:rsidR="00E82FD6">
        <w:rPr>
          <w:color w:val="000000"/>
        </w:rPr>
        <w:t>Oxy</w:t>
      </w:r>
      <w:r w:rsidR="00B747C6">
        <w:rPr>
          <w:color w:val="000000"/>
        </w:rPr>
        <w:t>con</w:t>
      </w:r>
      <w:r w:rsidR="007362D6">
        <w:rPr>
          <w:color w:val="000000"/>
        </w:rPr>
        <w:t>,</w:t>
      </w:r>
      <w:r>
        <w:rPr>
          <w:color w:val="000000"/>
        </w:rPr>
        <w:t xml:space="preserve"> and suffered harm as a result</w:t>
      </w:r>
      <w:r w:rsidR="006A227C">
        <w:rPr>
          <w:color w:val="000000"/>
        </w:rPr>
        <w:t xml:space="preserve">.  </w:t>
      </w:r>
      <w:r>
        <w:rPr>
          <w:i/>
          <w:iCs/>
          <w:color w:val="000000"/>
        </w:rPr>
        <w:t>See e.g.</w:t>
      </w:r>
      <w:r w:rsidR="008B54D4">
        <w:rPr>
          <w:color w:val="000000"/>
        </w:rPr>
        <w:t>,</w:t>
      </w:r>
      <w:r>
        <w:rPr>
          <w:color w:val="000000"/>
        </w:rPr>
        <w:t xml:space="preserve"> </w:t>
      </w:r>
      <w:r>
        <w:rPr>
          <w:i/>
          <w:iCs/>
          <w:color w:val="000000"/>
        </w:rPr>
        <w:t>Hurt</w:t>
      </w:r>
      <w:r w:rsidR="00E150C1">
        <w:rPr>
          <w:i/>
          <w:iCs/>
          <w:color w:val="000000"/>
        </w:rPr>
        <w:t xml:space="preserve"> v. </w:t>
      </w:r>
      <w:r w:rsidR="006239B5">
        <w:rPr>
          <w:i/>
          <w:iCs/>
          <w:color w:val="000000"/>
        </w:rPr>
        <w:t>Oxy</w:t>
      </w:r>
      <w:r w:rsidR="00FA6BF9">
        <w:rPr>
          <w:i/>
          <w:iCs/>
          <w:color w:val="000000"/>
        </w:rPr>
        <w:t xml:space="preserve"> </w:t>
      </w:r>
      <w:r>
        <w:rPr>
          <w:i/>
          <w:iCs/>
          <w:color w:val="000000"/>
        </w:rPr>
        <w:t>Pharma Co.</w:t>
      </w:r>
      <w:r w:rsidR="008B54D4">
        <w:rPr>
          <w:color w:val="000000"/>
        </w:rPr>
        <w:t>,</w:t>
      </w:r>
      <w:r>
        <w:rPr>
          <w:color w:val="000000"/>
        </w:rPr>
        <w:t xml:space="preserve"> </w:t>
      </w:r>
      <w:r w:rsidR="002E3DAF">
        <w:rPr>
          <w:color w:val="000000"/>
        </w:rPr>
        <w:t xml:space="preserve">No. </w:t>
      </w:r>
      <w:r>
        <w:rPr>
          <w:color w:val="000000"/>
        </w:rPr>
        <w:t>12648/03</w:t>
      </w:r>
      <w:r w:rsidR="008B54D4">
        <w:rPr>
          <w:color w:val="000000"/>
        </w:rPr>
        <w:t>,</w:t>
      </w:r>
      <w:r>
        <w:rPr>
          <w:color w:val="000000"/>
        </w:rPr>
        <w:t xml:space="preserve"> </w:t>
      </w:r>
      <w:hyperlink r:id="rId13" w:history="1">
        <w:r>
          <w:rPr>
            <w:color w:val="000000"/>
          </w:rPr>
          <w:t>2005 WL 192351</w:t>
        </w:r>
      </w:hyperlink>
      <w:r w:rsidR="008B54D4">
        <w:rPr>
          <w:color w:val="000000"/>
        </w:rPr>
        <w:t>,</w:t>
      </w:r>
      <w:r>
        <w:rPr>
          <w:color w:val="000000"/>
        </w:rPr>
        <w:t xml:space="preserve"> at **9-14 (</w:t>
      </w:r>
      <w:r w:rsidR="004F2BA9">
        <w:rPr>
          <w:color w:val="000000"/>
        </w:rPr>
        <w:t xml:space="preserve">Sup. Ct. </w:t>
      </w:r>
      <w:r>
        <w:rPr>
          <w:color w:val="000000"/>
        </w:rPr>
        <w:t>Richmond Cnty</w:t>
      </w:r>
      <w:r w:rsidR="006A227C">
        <w:rPr>
          <w:color w:val="000000"/>
        </w:rPr>
        <w:t xml:space="preserve">.  </w:t>
      </w:r>
      <w:r>
        <w:rPr>
          <w:color w:val="000000"/>
        </w:rPr>
        <w:t>Jan</w:t>
      </w:r>
      <w:r w:rsidR="006A227C">
        <w:rPr>
          <w:color w:val="000000"/>
        </w:rPr>
        <w:t xml:space="preserve">.  </w:t>
      </w:r>
      <w:r>
        <w:rPr>
          <w:color w:val="000000"/>
        </w:rPr>
        <w:t>24</w:t>
      </w:r>
      <w:r w:rsidR="008B54D4">
        <w:rPr>
          <w:color w:val="000000"/>
        </w:rPr>
        <w:t>,</w:t>
      </w:r>
      <w:r>
        <w:rPr>
          <w:color w:val="000000"/>
        </w:rPr>
        <w:t xml:space="preserve"> 2005)</w:t>
      </w:r>
      <w:r w:rsidR="00FA6BF9">
        <w:rPr>
          <w:color w:val="000000"/>
        </w:rPr>
        <w:t xml:space="preserve"> </w:t>
      </w:r>
      <w:r>
        <w:rPr>
          <w:color w:val="000000"/>
        </w:rPr>
        <w:t>(discussing cases)</w:t>
      </w:r>
      <w:r w:rsidR="006A227C">
        <w:rPr>
          <w:color w:val="000000"/>
        </w:rPr>
        <w:t xml:space="preserve">.  </w:t>
      </w:r>
      <w:r>
        <w:rPr>
          <w:color w:val="000000"/>
        </w:rPr>
        <w:t>But given the stringent requirements for class certification</w:t>
      </w:r>
      <w:r w:rsidR="008B54D4">
        <w:rPr>
          <w:color w:val="000000"/>
        </w:rPr>
        <w:t>,</w:t>
      </w:r>
      <w:r>
        <w:rPr>
          <w:color w:val="000000"/>
        </w:rPr>
        <w:t xml:space="preserve"> class certification motions in these cases were often denied</w:t>
      </w:r>
      <w:r w:rsidR="006A227C">
        <w:rPr>
          <w:color w:val="000000"/>
        </w:rPr>
        <w:t xml:space="preserve">.  </w:t>
      </w:r>
      <w:r>
        <w:rPr>
          <w:color w:val="000000"/>
        </w:rPr>
        <w:t>For example</w:t>
      </w:r>
      <w:r w:rsidR="008B54D4">
        <w:rPr>
          <w:color w:val="000000"/>
        </w:rPr>
        <w:t>,</w:t>
      </w:r>
      <w:r>
        <w:rPr>
          <w:color w:val="000000"/>
        </w:rPr>
        <w:t xml:space="preserve"> in </w:t>
      </w:r>
      <w:r>
        <w:rPr>
          <w:i/>
          <w:iCs/>
          <w:color w:val="000000"/>
        </w:rPr>
        <w:t>Fo</w:t>
      </w:r>
      <w:r w:rsidR="00556903">
        <w:rPr>
          <w:i/>
          <w:iCs/>
          <w:color w:val="000000"/>
        </w:rPr>
        <w:t>l</w:t>
      </w:r>
      <w:r>
        <w:rPr>
          <w:i/>
          <w:iCs/>
          <w:color w:val="000000"/>
        </w:rPr>
        <w:t>ster</w:t>
      </w:r>
      <w:r w:rsidR="00E150C1">
        <w:rPr>
          <w:i/>
          <w:iCs/>
          <w:color w:val="000000"/>
        </w:rPr>
        <w:t xml:space="preserve"> v. </w:t>
      </w:r>
      <w:r w:rsidR="006239B5">
        <w:rPr>
          <w:i/>
          <w:iCs/>
          <w:color w:val="000000"/>
        </w:rPr>
        <w:t>Oxy</w:t>
      </w:r>
      <w:r>
        <w:rPr>
          <w:i/>
          <w:iCs/>
          <w:color w:val="000000"/>
        </w:rPr>
        <w:t xml:space="preserve"> Pharma L.P.</w:t>
      </w:r>
      <w:r w:rsidR="008B54D4">
        <w:rPr>
          <w:color w:val="000000"/>
        </w:rPr>
        <w:t>,</w:t>
      </w:r>
      <w:r>
        <w:rPr>
          <w:color w:val="000000"/>
        </w:rPr>
        <w:t xml:space="preserve"> plaintiffs in the Eastern District of Kentucky sought unsuccessfully to certify class of “all persons who have been harmed due to the addictive nature of </w:t>
      </w:r>
      <w:r w:rsidR="00E82FD6">
        <w:rPr>
          <w:color w:val="000000"/>
        </w:rPr>
        <w:t>Oxy</w:t>
      </w:r>
      <w:r w:rsidR="00B747C6">
        <w:rPr>
          <w:color w:val="000000"/>
        </w:rPr>
        <w:t>con</w:t>
      </w:r>
      <w:r>
        <w:rPr>
          <w:color w:val="000000"/>
        </w:rPr>
        <w:t>.”</w:t>
      </w:r>
      <w:r w:rsidR="004F2BA9">
        <w:rPr>
          <w:color w:val="000000"/>
        </w:rPr>
        <w:t xml:space="preserve"> </w:t>
      </w:r>
      <w:r>
        <w:rPr>
          <w:color w:val="000000"/>
        </w:rPr>
        <w:t xml:space="preserve"> No</w:t>
      </w:r>
      <w:r w:rsidR="006A227C">
        <w:rPr>
          <w:color w:val="000000"/>
        </w:rPr>
        <w:t xml:space="preserve">. </w:t>
      </w:r>
      <w:r>
        <w:rPr>
          <w:color w:val="000000"/>
        </w:rPr>
        <w:t>Civ.A</w:t>
      </w:r>
      <w:r w:rsidR="006A227C">
        <w:rPr>
          <w:color w:val="000000"/>
        </w:rPr>
        <w:t xml:space="preserve">.  </w:t>
      </w:r>
      <w:r>
        <w:rPr>
          <w:color w:val="000000"/>
        </w:rPr>
        <w:t>01-268-DCR</w:t>
      </w:r>
      <w:r w:rsidR="008B54D4">
        <w:rPr>
          <w:color w:val="000000"/>
        </w:rPr>
        <w:t>,</w:t>
      </w:r>
      <w:r>
        <w:rPr>
          <w:color w:val="000000"/>
        </w:rPr>
        <w:t xml:space="preserve"> </w:t>
      </w:r>
      <w:hyperlink r:id="rId14" w:history="1">
        <w:r>
          <w:rPr>
            <w:color w:val="000000"/>
          </w:rPr>
          <w:t>2002 WL</w:t>
        </w:r>
      </w:hyperlink>
      <w:r>
        <w:rPr>
          <w:color w:val="000000"/>
        </w:rPr>
        <w:t xml:space="preserve"> </w:t>
      </w:r>
      <w:hyperlink r:id="rId15" w:history="1">
        <w:r>
          <w:rPr>
            <w:color w:val="000000"/>
          </w:rPr>
          <w:t>1008608</w:t>
        </w:r>
      </w:hyperlink>
      <w:r w:rsidR="008B54D4">
        <w:rPr>
          <w:color w:val="000000"/>
        </w:rPr>
        <w:t>,</w:t>
      </w:r>
      <w:r>
        <w:rPr>
          <w:color w:val="000000"/>
        </w:rPr>
        <w:t xml:space="preserve"> at *1 (E.D</w:t>
      </w:r>
      <w:r w:rsidR="006A227C">
        <w:rPr>
          <w:color w:val="000000"/>
        </w:rPr>
        <w:t xml:space="preserve">. </w:t>
      </w:r>
      <w:r>
        <w:rPr>
          <w:color w:val="000000"/>
        </w:rPr>
        <w:t>Ky</w:t>
      </w:r>
      <w:r w:rsidR="006A227C">
        <w:rPr>
          <w:color w:val="000000"/>
        </w:rPr>
        <w:t xml:space="preserve">. </w:t>
      </w:r>
      <w:r>
        <w:rPr>
          <w:color w:val="000000"/>
        </w:rPr>
        <w:t>Feb</w:t>
      </w:r>
      <w:r w:rsidR="006A227C">
        <w:rPr>
          <w:color w:val="000000"/>
        </w:rPr>
        <w:t xml:space="preserve">. </w:t>
      </w:r>
      <w:r>
        <w:rPr>
          <w:color w:val="000000"/>
        </w:rPr>
        <w:t>26</w:t>
      </w:r>
      <w:r w:rsidR="008B54D4">
        <w:rPr>
          <w:color w:val="000000"/>
        </w:rPr>
        <w:t>,</w:t>
      </w:r>
      <w:r>
        <w:rPr>
          <w:color w:val="000000"/>
        </w:rPr>
        <w:t xml:space="preserve"> 2002); </w:t>
      </w:r>
      <w:r>
        <w:rPr>
          <w:i/>
          <w:iCs/>
          <w:color w:val="000000"/>
        </w:rPr>
        <w:t>see also Geve</w:t>
      </w:r>
      <w:r w:rsidR="00E150C1">
        <w:rPr>
          <w:i/>
          <w:iCs/>
          <w:color w:val="000000"/>
        </w:rPr>
        <w:t xml:space="preserve"> v. </w:t>
      </w:r>
      <w:r w:rsidR="006239B5">
        <w:rPr>
          <w:i/>
          <w:iCs/>
          <w:color w:val="000000"/>
        </w:rPr>
        <w:t>Oxy</w:t>
      </w:r>
      <w:r>
        <w:rPr>
          <w:i/>
          <w:iCs/>
          <w:color w:val="000000"/>
        </w:rPr>
        <w:t xml:space="preserve"> Pharma</w:t>
      </w:r>
      <w:r w:rsidR="008B54D4">
        <w:rPr>
          <w:color w:val="000000"/>
        </w:rPr>
        <w:t>,</w:t>
      </w:r>
      <w:r>
        <w:rPr>
          <w:color w:val="000000"/>
        </w:rPr>
        <w:t xml:space="preserve"> </w:t>
      </w:r>
      <w:hyperlink r:id="rId16" w:history="1">
        <w:r>
          <w:rPr>
            <w:color w:val="000000"/>
          </w:rPr>
          <w:t>212 F.R.D</w:t>
        </w:r>
        <w:r w:rsidR="006A227C">
          <w:rPr>
            <w:color w:val="000000"/>
          </w:rPr>
          <w:t xml:space="preserve">.  </w:t>
        </w:r>
        <w:r>
          <w:rPr>
            <w:color w:val="000000"/>
          </w:rPr>
          <w:t>333</w:t>
        </w:r>
        <w:r w:rsidR="008B54D4">
          <w:rPr>
            <w:color w:val="000000"/>
          </w:rPr>
          <w:t>,</w:t>
        </w:r>
      </w:hyperlink>
      <w:r>
        <w:rPr>
          <w:color w:val="000000"/>
        </w:rPr>
        <w:t xml:space="preserve"> </w:t>
      </w:r>
      <w:hyperlink r:id="rId17" w:history="1">
        <w:r>
          <w:rPr>
            <w:color w:val="000000"/>
          </w:rPr>
          <w:t xml:space="preserve">336 </w:t>
        </w:r>
      </w:hyperlink>
      <w:r>
        <w:rPr>
          <w:color w:val="000000"/>
        </w:rPr>
        <w:t>(E.D</w:t>
      </w:r>
      <w:r w:rsidR="006A227C">
        <w:rPr>
          <w:color w:val="000000"/>
        </w:rPr>
        <w:t xml:space="preserve">. </w:t>
      </w:r>
      <w:r>
        <w:rPr>
          <w:color w:val="000000"/>
        </w:rPr>
        <w:t>Ky</w:t>
      </w:r>
      <w:r w:rsidR="006A227C">
        <w:rPr>
          <w:color w:val="000000"/>
        </w:rPr>
        <w:t xml:space="preserve">. </w:t>
      </w:r>
      <w:r>
        <w:rPr>
          <w:color w:val="000000"/>
        </w:rPr>
        <w:t>Oct</w:t>
      </w:r>
      <w:r w:rsidR="006A227C">
        <w:rPr>
          <w:color w:val="000000"/>
        </w:rPr>
        <w:t xml:space="preserve">. </w:t>
      </w:r>
      <w:r>
        <w:rPr>
          <w:color w:val="000000"/>
        </w:rPr>
        <w:t>17</w:t>
      </w:r>
      <w:r w:rsidR="008B54D4">
        <w:rPr>
          <w:color w:val="000000"/>
        </w:rPr>
        <w:t>,</w:t>
      </w:r>
      <w:r>
        <w:rPr>
          <w:color w:val="000000"/>
        </w:rPr>
        <w:t xml:space="preserve"> 2002) (denying class certification); </w:t>
      </w:r>
      <w:r w:rsidR="00556903">
        <w:rPr>
          <w:i/>
          <w:iCs/>
          <w:color w:val="000000"/>
        </w:rPr>
        <w:t>B</w:t>
      </w:r>
      <w:r>
        <w:rPr>
          <w:i/>
          <w:iCs/>
          <w:color w:val="000000"/>
        </w:rPr>
        <w:t>ell</w:t>
      </w:r>
      <w:r w:rsidR="00E150C1">
        <w:rPr>
          <w:i/>
          <w:iCs/>
          <w:color w:val="000000"/>
        </w:rPr>
        <w:t xml:space="preserve"> v. </w:t>
      </w:r>
      <w:r w:rsidR="006239B5">
        <w:rPr>
          <w:i/>
          <w:iCs/>
          <w:color w:val="000000"/>
        </w:rPr>
        <w:t>Oxy</w:t>
      </w:r>
      <w:r>
        <w:rPr>
          <w:i/>
          <w:iCs/>
          <w:color w:val="000000"/>
        </w:rPr>
        <w:t xml:space="preserve"> Pharma</w:t>
      </w:r>
      <w:r w:rsidR="008B54D4">
        <w:rPr>
          <w:i/>
          <w:iCs/>
          <w:color w:val="000000"/>
        </w:rPr>
        <w:t>,</w:t>
      </w:r>
      <w:r>
        <w:rPr>
          <w:i/>
          <w:iCs/>
          <w:color w:val="000000"/>
        </w:rPr>
        <w:t xml:space="preserve"> L.P.</w:t>
      </w:r>
      <w:r w:rsidR="008B54D4">
        <w:rPr>
          <w:color w:val="000000"/>
        </w:rPr>
        <w:t>,</w:t>
      </w:r>
      <w:r>
        <w:rPr>
          <w:color w:val="000000"/>
        </w:rPr>
        <w:t xml:space="preserve"> No.</w:t>
      </w:r>
      <w:r w:rsidR="00FA6BF9">
        <w:rPr>
          <w:color w:val="000000"/>
        </w:rPr>
        <w:t xml:space="preserve"> </w:t>
      </w:r>
      <w:r>
        <w:rPr>
          <w:color w:val="000000"/>
        </w:rPr>
        <w:t>1:02 CV 00163 TCM</w:t>
      </w:r>
      <w:r w:rsidR="008B54D4">
        <w:rPr>
          <w:color w:val="000000"/>
        </w:rPr>
        <w:t>,</w:t>
      </w:r>
      <w:r>
        <w:rPr>
          <w:color w:val="000000"/>
        </w:rPr>
        <w:t xml:space="preserve"> </w:t>
      </w:r>
      <w:hyperlink r:id="rId18" w:history="1">
        <w:r>
          <w:rPr>
            <w:color w:val="000000"/>
          </w:rPr>
          <w:t>2004 WL 5840206</w:t>
        </w:r>
      </w:hyperlink>
      <w:r w:rsidR="008B54D4">
        <w:rPr>
          <w:color w:val="000000"/>
        </w:rPr>
        <w:t>,</w:t>
      </w:r>
      <w:r>
        <w:rPr>
          <w:color w:val="000000"/>
        </w:rPr>
        <w:t xml:space="preserve"> at *1 (ED Mo</w:t>
      </w:r>
      <w:r w:rsidR="006A227C">
        <w:rPr>
          <w:color w:val="000000"/>
        </w:rPr>
        <w:t xml:space="preserve">. </w:t>
      </w:r>
      <w:r>
        <w:rPr>
          <w:color w:val="000000"/>
        </w:rPr>
        <w:t>June 25</w:t>
      </w:r>
      <w:r w:rsidR="008B54D4">
        <w:rPr>
          <w:color w:val="000000"/>
        </w:rPr>
        <w:t>,</w:t>
      </w:r>
      <w:r>
        <w:rPr>
          <w:color w:val="000000"/>
        </w:rPr>
        <w:t xml:space="preserve"> 2004) (denying class certification)</w:t>
      </w:r>
      <w:r w:rsidR="006A227C">
        <w:rPr>
          <w:color w:val="000000"/>
        </w:rPr>
        <w:t xml:space="preserve">.  </w:t>
      </w:r>
      <w:r>
        <w:rPr>
          <w:color w:val="000000"/>
        </w:rPr>
        <w:t>Class certification was generally deemed inappropriate because courts concluded that individual questions predominated (“addiction to the drug is an individualized question of fact”)</w:t>
      </w:r>
      <w:r w:rsidR="008B54D4">
        <w:rPr>
          <w:color w:val="000000"/>
        </w:rPr>
        <w:t>,</w:t>
      </w:r>
      <w:r>
        <w:rPr>
          <w:color w:val="000000"/>
        </w:rPr>
        <w:t xml:space="preserve"> thus precluding a finding of commonality</w:t>
      </w:r>
      <w:r w:rsidR="006A227C">
        <w:rPr>
          <w:color w:val="000000"/>
        </w:rPr>
        <w:t xml:space="preserve">.  </w:t>
      </w:r>
      <w:r>
        <w:rPr>
          <w:i/>
          <w:iCs/>
          <w:color w:val="000000"/>
        </w:rPr>
        <w:t>See Howand et al</w:t>
      </w:r>
      <w:r w:rsidR="006A227C">
        <w:rPr>
          <w:i/>
          <w:iCs/>
          <w:color w:val="000000"/>
        </w:rPr>
        <w:t>.</w:t>
      </w:r>
      <w:r w:rsidR="00E150C1">
        <w:rPr>
          <w:i/>
          <w:iCs/>
          <w:color w:val="000000"/>
        </w:rPr>
        <w:t xml:space="preserve"> v. </w:t>
      </w:r>
      <w:r w:rsidR="006239B5">
        <w:rPr>
          <w:i/>
          <w:iCs/>
          <w:color w:val="000000"/>
        </w:rPr>
        <w:t>Oxy</w:t>
      </w:r>
      <w:r>
        <w:rPr>
          <w:i/>
          <w:iCs/>
          <w:color w:val="000000"/>
        </w:rPr>
        <w:t xml:space="preserve"> Pharma</w:t>
      </w:r>
      <w:r w:rsidR="008B54D4">
        <w:rPr>
          <w:i/>
          <w:iCs/>
          <w:color w:val="000000"/>
        </w:rPr>
        <w:t>,</w:t>
      </w:r>
      <w:r>
        <w:rPr>
          <w:i/>
          <w:iCs/>
          <w:color w:val="000000"/>
        </w:rPr>
        <w:t xml:space="preserve"> L.P</w:t>
      </w:r>
      <w:r w:rsidR="006A227C">
        <w:rPr>
          <w:i/>
          <w:iCs/>
          <w:color w:val="000000"/>
        </w:rPr>
        <w:t xml:space="preserve">. </w:t>
      </w:r>
      <w:r>
        <w:rPr>
          <w:i/>
          <w:iCs/>
          <w:color w:val="000000"/>
        </w:rPr>
        <w:t>et al.</w:t>
      </w:r>
      <w:r w:rsidR="008B54D4">
        <w:rPr>
          <w:color w:val="000000"/>
        </w:rPr>
        <w:t>,</w:t>
      </w:r>
      <w:hyperlink r:id="rId19" w:history="1">
        <w:r>
          <w:rPr>
            <w:color w:val="000000"/>
          </w:rPr>
          <w:t xml:space="preserve"> 821 N.E.2d 141</w:t>
        </w:r>
        <w:r w:rsidR="008B54D4">
          <w:rPr>
            <w:color w:val="000000"/>
          </w:rPr>
          <w:t>,</w:t>
        </w:r>
        <w:r>
          <w:rPr>
            <w:color w:val="000000"/>
          </w:rPr>
          <w:t xml:space="preserve"> 146-147 </w:t>
        </w:r>
      </w:hyperlink>
      <w:r>
        <w:rPr>
          <w:color w:val="000000"/>
        </w:rPr>
        <w:t>(Oh</w:t>
      </w:r>
      <w:r w:rsidR="006A227C">
        <w:rPr>
          <w:color w:val="000000"/>
        </w:rPr>
        <w:t xml:space="preserve">. </w:t>
      </w:r>
      <w:r>
        <w:rPr>
          <w:color w:val="000000"/>
        </w:rPr>
        <w:t>Sup</w:t>
      </w:r>
      <w:r w:rsidR="006A227C">
        <w:rPr>
          <w:color w:val="000000"/>
        </w:rPr>
        <w:t xml:space="preserve">. </w:t>
      </w:r>
      <w:r>
        <w:rPr>
          <w:color w:val="000000"/>
        </w:rPr>
        <w:t>Ct</w:t>
      </w:r>
      <w:r w:rsidR="006A227C">
        <w:rPr>
          <w:color w:val="000000"/>
        </w:rPr>
        <w:t xml:space="preserve">. </w:t>
      </w:r>
      <w:r>
        <w:rPr>
          <w:color w:val="000000"/>
        </w:rPr>
        <w:t>Dec</w:t>
      </w:r>
      <w:r w:rsidR="006A227C">
        <w:rPr>
          <w:color w:val="000000"/>
        </w:rPr>
        <w:t xml:space="preserve">. </w:t>
      </w:r>
      <w:r>
        <w:rPr>
          <w:color w:val="000000"/>
        </w:rPr>
        <w:t>15</w:t>
      </w:r>
      <w:r w:rsidR="008B54D4">
        <w:rPr>
          <w:color w:val="000000"/>
        </w:rPr>
        <w:t>,</w:t>
      </w:r>
      <w:r>
        <w:rPr>
          <w:color w:val="000000"/>
        </w:rPr>
        <w:t xml:space="preserve"> 2004)</w:t>
      </w:r>
      <w:r w:rsidR="006A227C">
        <w:rPr>
          <w:color w:val="000000"/>
        </w:rPr>
        <w:t xml:space="preserve">.  </w:t>
      </w:r>
      <w:r>
        <w:rPr>
          <w:color w:val="000000"/>
        </w:rPr>
        <w:t>When such motions were granted</w:t>
      </w:r>
      <w:r w:rsidR="008B54D4">
        <w:rPr>
          <w:color w:val="000000"/>
        </w:rPr>
        <w:t>,</w:t>
      </w:r>
      <w:r>
        <w:rPr>
          <w:color w:val="000000"/>
        </w:rPr>
        <w:t xml:space="preserve"> the decisions were often reversed</w:t>
      </w:r>
      <w:r w:rsidR="006A227C">
        <w:rPr>
          <w:color w:val="000000"/>
        </w:rPr>
        <w:t xml:space="preserve">.  </w:t>
      </w:r>
      <w:r>
        <w:rPr>
          <w:i/>
          <w:iCs/>
          <w:color w:val="000000"/>
        </w:rPr>
        <w:t>See id.</w:t>
      </w:r>
    </w:p>
    <w:p w14:paraId="52545A28" w14:textId="4996C2AC" w:rsidR="00A77BBD" w:rsidRDefault="00A77BBD" w:rsidP="00A77BBD">
      <w:pPr>
        <w:pStyle w:val="BodyTextFirstIndent"/>
      </w:pPr>
      <w:r>
        <w:rPr>
          <w:color w:val="000000"/>
        </w:rPr>
        <w:t>Absent class certification</w:t>
      </w:r>
      <w:r w:rsidR="008B54D4">
        <w:rPr>
          <w:color w:val="000000"/>
        </w:rPr>
        <w:t>,</w:t>
      </w:r>
      <w:r>
        <w:rPr>
          <w:color w:val="000000"/>
        </w:rPr>
        <w:t xml:space="preserve"> the sheer number of individual cases that were filed meant that cases had to be sent to judicial coordinating panels</w:t>
      </w:r>
      <w:r w:rsidR="006A227C">
        <w:rPr>
          <w:color w:val="000000"/>
        </w:rPr>
        <w:t xml:space="preserve">.  </w:t>
      </w:r>
      <w:r>
        <w:rPr>
          <w:color w:val="000000"/>
        </w:rPr>
        <w:t>In New York</w:t>
      </w:r>
      <w:r w:rsidR="008B54D4">
        <w:rPr>
          <w:color w:val="000000"/>
        </w:rPr>
        <w:t>,</w:t>
      </w:r>
      <w:r>
        <w:rPr>
          <w:color w:val="000000"/>
        </w:rPr>
        <w:t xml:space="preserve"> for example</w:t>
      </w:r>
      <w:r w:rsidR="008B54D4">
        <w:rPr>
          <w:color w:val="000000"/>
        </w:rPr>
        <w:t>,</w:t>
      </w:r>
      <w:r>
        <w:rPr>
          <w:color w:val="000000"/>
        </w:rPr>
        <w:t xml:space="preserve"> five state cases were transferred to the New York Litigation Coordinating Panel in 2005 - after which 1</w:t>
      </w:r>
      <w:r w:rsidR="008B54D4">
        <w:rPr>
          <w:color w:val="000000"/>
        </w:rPr>
        <w:t>,</w:t>
      </w:r>
      <w:r>
        <w:rPr>
          <w:color w:val="000000"/>
        </w:rPr>
        <w:t>117 additional lawsuits were filed and coordinated</w:t>
      </w:r>
      <w:r w:rsidR="006A227C">
        <w:rPr>
          <w:color w:val="000000"/>
        </w:rPr>
        <w:t xml:space="preserve">.  </w:t>
      </w:r>
      <w:r>
        <w:rPr>
          <w:i/>
          <w:iCs/>
          <w:color w:val="000000"/>
        </w:rPr>
        <w:t>See Hurt</w:t>
      </w:r>
      <w:r w:rsidR="008B54D4">
        <w:rPr>
          <w:color w:val="000000"/>
        </w:rPr>
        <w:t>,</w:t>
      </w:r>
      <w:r>
        <w:rPr>
          <w:color w:val="000000"/>
        </w:rPr>
        <w:t xml:space="preserve"> </w:t>
      </w:r>
      <w:hyperlink r:id="rId20" w:history="1">
        <w:r>
          <w:rPr>
            <w:color w:val="000000"/>
          </w:rPr>
          <w:t>2005 WL 192351</w:t>
        </w:r>
      </w:hyperlink>
      <w:r w:rsidR="008B54D4">
        <w:rPr>
          <w:color w:val="000000"/>
        </w:rPr>
        <w:t>,</w:t>
      </w:r>
      <w:r>
        <w:rPr>
          <w:color w:val="000000"/>
        </w:rPr>
        <w:t xml:space="preserve"> at *15; Within these coordinated cases</w:t>
      </w:r>
      <w:r w:rsidR="008B54D4">
        <w:rPr>
          <w:color w:val="000000"/>
        </w:rPr>
        <w:t>,</w:t>
      </w:r>
      <w:r>
        <w:rPr>
          <w:color w:val="000000"/>
        </w:rPr>
        <w:t xml:space="preserve"> after much discovery</w:t>
      </w:r>
      <w:r w:rsidR="008B54D4">
        <w:rPr>
          <w:color w:val="000000"/>
        </w:rPr>
        <w:t>,</w:t>
      </w:r>
      <w:r>
        <w:rPr>
          <w:color w:val="000000"/>
        </w:rPr>
        <w:t xml:space="preserve"> settlements were pursued</w:t>
      </w:r>
      <w:r w:rsidR="006A227C">
        <w:rPr>
          <w:color w:val="000000"/>
        </w:rPr>
        <w:t xml:space="preserve">.  </w:t>
      </w:r>
      <w:r>
        <w:rPr>
          <w:i/>
          <w:iCs/>
          <w:color w:val="000000"/>
        </w:rPr>
        <w:t>See e.g.</w:t>
      </w:r>
      <w:r w:rsidR="008B54D4">
        <w:rPr>
          <w:color w:val="000000"/>
        </w:rPr>
        <w:t>,</w:t>
      </w:r>
      <w:r>
        <w:rPr>
          <w:color w:val="000000"/>
        </w:rPr>
        <w:t xml:space="preserve"> </w:t>
      </w:r>
      <w:r>
        <w:rPr>
          <w:i/>
          <w:iCs/>
          <w:color w:val="000000"/>
        </w:rPr>
        <w:t xml:space="preserve">Matter of </w:t>
      </w:r>
      <w:r w:rsidR="00E82FD6">
        <w:rPr>
          <w:i/>
          <w:iCs/>
          <w:color w:val="000000"/>
        </w:rPr>
        <w:t>Oxy</w:t>
      </w:r>
      <w:r>
        <w:rPr>
          <w:i/>
          <w:iCs/>
          <w:color w:val="000000"/>
        </w:rPr>
        <w:t xml:space="preserve"> II</w:t>
      </w:r>
      <w:r w:rsidR="008B54D4">
        <w:rPr>
          <w:color w:val="000000"/>
        </w:rPr>
        <w:t>,</w:t>
      </w:r>
      <w:r>
        <w:rPr>
          <w:color w:val="000000"/>
        </w:rPr>
        <w:t xml:space="preserve"> </w:t>
      </w:r>
      <w:hyperlink r:id="rId21" w:history="1">
        <w:r>
          <w:rPr>
            <w:color w:val="000000"/>
          </w:rPr>
          <w:t>23 Misc.3</w:t>
        </w:r>
      </w:hyperlink>
      <w:r>
        <w:rPr>
          <w:color w:val="000000"/>
        </w:rPr>
        <w:t>d 974</w:t>
      </w:r>
      <w:r w:rsidR="008B54D4">
        <w:rPr>
          <w:color w:val="000000"/>
        </w:rPr>
        <w:t>,</w:t>
      </w:r>
      <w:r>
        <w:rPr>
          <w:color w:val="000000"/>
        </w:rPr>
        <w:t xml:space="preserve"> 975 (Sup</w:t>
      </w:r>
      <w:r w:rsidR="006A227C">
        <w:rPr>
          <w:color w:val="000000"/>
        </w:rPr>
        <w:t xml:space="preserve">. </w:t>
      </w:r>
      <w:r>
        <w:rPr>
          <w:color w:val="000000"/>
        </w:rPr>
        <w:t>Ct</w:t>
      </w:r>
      <w:r w:rsidR="006A227C">
        <w:rPr>
          <w:color w:val="000000"/>
        </w:rPr>
        <w:t xml:space="preserve">. </w:t>
      </w:r>
      <w:r>
        <w:rPr>
          <w:color w:val="000000"/>
        </w:rPr>
        <w:t>Richmond Cnty</w:t>
      </w:r>
      <w:r w:rsidR="006A227C">
        <w:rPr>
          <w:color w:val="000000"/>
        </w:rPr>
        <w:t xml:space="preserve">. </w:t>
      </w:r>
      <w:r>
        <w:rPr>
          <w:color w:val="000000"/>
        </w:rPr>
        <w:t>2009) (discussing efforts in 2006-2007 to reach a “universal settlement” of the thousands of New York cases).</w:t>
      </w:r>
    </w:p>
    <w:p w14:paraId="09138F2B" w14:textId="1B92D0F8" w:rsidR="00A77BBD" w:rsidRDefault="00A77BBD" w:rsidP="00A77BBD">
      <w:pPr>
        <w:pStyle w:val="BodyTextFirstIndent"/>
      </w:pPr>
      <w:r>
        <w:rPr>
          <w:color w:val="000000"/>
        </w:rPr>
        <w:t xml:space="preserve">Discovery in these lawsuits proved useful to state and federal regulatory agencies that were also investigating </w:t>
      </w:r>
      <w:r w:rsidR="006239B5">
        <w:rPr>
          <w:color w:val="000000"/>
        </w:rPr>
        <w:t>Oxy</w:t>
      </w:r>
      <w:r w:rsidR="008B54D4">
        <w:rPr>
          <w:color w:val="000000"/>
        </w:rPr>
        <w:t>’</w:t>
      </w:r>
      <w:r>
        <w:rPr>
          <w:color w:val="000000"/>
        </w:rPr>
        <w:t>s role in the opioid crisis</w:t>
      </w:r>
      <w:r w:rsidR="006A227C">
        <w:rPr>
          <w:color w:val="000000"/>
        </w:rPr>
        <w:t xml:space="preserve">.  </w:t>
      </w:r>
      <w:r>
        <w:rPr>
          <w:color w:val="000000"/>
        </w:rPr>
        <w:t>Attorney Jayne Conroy</w:t>
      </w:r>
      <w:r w:rsidR="008B54D4">
        <w:rPr>
          <w:color w:val="000000"/>
        </w:rPr>
        <w:t>,</w:t>
      </w:r>
      <w:r>
        <w:rPr>
          <w:color w:val="000000"/>
        </w:rPr>
        <w:t xml:space="preserve"> who testified at the Confirmation Hearing on behalf of the AHC</w:t>
      </w:r>
      <w:r w:rsidR="008B54D4">
        <w:rPr>
          <w:color w:val="000000"/>
        </w:rPr>
        <w:t>,</w:t>
      </w:r>
      <w:r>
        <w:rPr>
          <w:color w:val="000000"/>
        </w:rPr>
        <w:t xml:space="preserve"> explained that the discovery taken by her firm in hundreds of New York cases against </w:t>
      </w:r>
      <w:r w:rsidR="006239B5">
        <w:rPr>
          <w:color w:val="000000"/>
        </w:rPr>
        <w:t>Oxy</w:t>
      </w:r>
      <w:r>
        <w:rPr>
          <w:color w:val="000000"/>
        </w:rPr>
        <w:t xml:space="preserve"> was later subpoenaed by the Justice Department as part of the federal government</w:t>
      </w:r>
      <w:r w:rsidR="008B54D4">
        <w:rPr>
          <w:color w:val="000000"/>
        </w:rPr>
        <w:t>’</w:t>
      </w:r>
      <w:r>
        <w:rPr>
          <w:color w:val="000000"/>
        </w:rPr>
        <w:t xml:space="preserve">s 2006-2007 investigation into </w:t>
      </w:r>
      <w:r w:rsidR="006239B5">
        <w:rPr>
          <w:color w:val="000000"/>
        </w:rPr>
        <w:t>Oxy</w:t>
      </w:r>
      <w:r w:rsidR="006A227C">
        <w:rPr>
          <w:color w:val="000000"/>
        </w:rPr>
        <w:t xml:space="preserve">. </w:t>
      </w:r>
    </w:p>
    <w:p w14:paraId="4E6827E8" w14:textId="409A3C26" w:rsidR="00A77BBD" w:rsidRDefault="00A77BBD" w:rsidP="001D46C1">
      <w:pPr>
        <w:pStyle w:val="Heading3"/>
      </w:pPr>
      <w:r>
        <w:t>The 200</w:t>
      </w:r>
      <w:r w:rsidR="00556903">
        <w:t>8</w:t>
      </w:r>
      <w:r>
        <w:t xml:space="preserve"> Settlement and 200</w:t>
      </w:r>
      <w:r w:rsidR="00556903">
        <w:t>8</w:t>
      </w:r>
      <w:r>
        <w:t xml:space="preserve"> Plea Agreement</w:t>
      </w:r>
    </w:p>
    <w:p w14:paraId="0CCFCD78" w14:textId="7FB81331" w:rsidR="00A77BBD" w:rsidRPr="001D46C1" w:rsidRDefault="006239B5" w:rsidP="001D46C1">
      <w:pPr>
        <w:pStyle w:val="Heading4"/>
        <w:rPr>
          <w:u w:val="single"/>
        </w:rPr>
      </w:pPr>
      <w:r>
        <w:rPr>
          <w:u w:val="single"/>
        </w:rPr>
        <w:t>Oxy</w:t>
      </w:r>
      <w:r w:rsidR="008B54D4" w:rsidRPr="001D46C1">
        <w:rPr>
          <w:u w:val="single"/>
        </w:rPr>
        <w:t>’</w:t>
      </w:r>
      <w:r w:rsidR="00A77BBD" w:rsidRPr="001D46C1">
        <w:rPr>
          <w:u w:val="single"/>
        </w:rPr>
        <w:t>s 2007 Settlements with 26 States and the District of Columbia</w:t>
      </w:r>
    </w:p>
    <w:p w14:paraId="718A56DF" w14:textId="61D6D01E" w:rsidR="00A77BBD" w:rsidRDefault="00A77BBD" w:rsidP="00A77BBD">
      <w:pPr>
        <w:pStyle w:val="BodyTextFirstIndent"/>
      </w:pPr>
      <w:r>
        <w:rPr>
          <w:color w:val="000000"/>
        </w:rPr>
        <w:t>In 200</w:t>
      </w:r>
      <w:r w:rsidR="00556903">
        <w:rPr>
          <w:color w:val="000000"/>
        </w:rPr>
        <w:t>8</w:t>
      </w:r>
      <w:r w:rsidR="008B54D4">
        <w:rPr>
          <w:color w:val="000000"/>
        </w:rPr>
        <w:t>,</w:t>
      </w:r>
      <w:r>
        <w:rPr>
          <w:color w:val="000000"/>
        </w:rPr>
        <w:t xml:space="preserve"> twenty-six state</w:t>
      </w:r>
      <w:r w:rsidR="00556903">
        <w:rPr>
          <w:color w:val="000000"/>
        </w:rPr>
        <w:t>s</w:t>
      </w:r>
      <w:r>
        <w:rPr>
          <w:color w:val="000000"/>
        </w:rPr>
        <w:t xml:space="preserve"> and D.C</w:t>
      </w:r>
      <w:r w:rsidR="006A227C">
        <w:rPr>
          <w:color w:val="000000"/>
        </w:rPr>
        <w:t xml:space="preserve">. </w:t>
      </w:r>
      <w:r>
        <w:rPr>
          <w:color w:val="000000"/>
        </w:rPr>
        <w:t xml:space="preserve">settled investigations into </w:t>
      </w:r>
      <w:r w:rsidR="006239B5">
        <w:rPr>
          <w:color w:val="000000"/>
        </w:rPr>
        <w:t>Oxy</w:t>
      </w:r>
      <w:r w:rsidR="008B54D4">
        <w:rPr>
          <w:color w:val="000000"/>
        </w:rPr>
        <w:t>’</w:t>
      </w:r>
      <w:r>
        <w:rPr>
          <w:color w:val="000000"/>
        </w:rPr>
        <w:t xml:space="preserve">s promotional and marketing practices regarding </w:t>
      </w:r>
      <w:r w:rsidR="00E82FD6">
        <w:rPr>
          <w:color w:val="000000"/>
        </w:rPr>
        <w:t>Oxy</w:t>
      </w:r>
      <w:r w:rsidR="00B747C6">
        <w:rPr>
          <w:color w:val="000000"/>
        </w:rPr>
        <w:t>con</w:t>
      </w:r>
      <w:r>
        <w:rPr>
          <w:color w:val="000000"/>
        </w:rPr>
        <w:t xml:space="preserve"> for $19.5 million (“2007 Settlement</w:t>
      </w:r>
      <w:r w:rsidR="00556903">
        <w:rPr>
          <w:color w:val="000000"/>
        </w:rPr>
        <w:t>”).</w:t>
      </w:r>
      <w:r w:rsidR="006A227C">
        <w:rPr>
          <w:color w:val="000000"/>
        </w:rPr>
        <w:t xml:space="preserve"> </w:t>
      </w:r>
      <w:r>
        <w:rPr>
          <w:color w:val="000000"/>
        </w:rPr>
        <w:t>As part of the 200</w:t>
      </w:r>
      <w:r w:rsidR="00556903">
        <w:rPr>
          <w:color w:val="000000"/>
        </w:rPr>
        <w:t>8</w:t>
      </w:r>
      <w:r>
        <w:rPr>
          <w:color w:val="000000"/>
        </w:rPr>
        <w:t xml:space="preserve"> Settlement</w:t>
      </w:r>
      <w:r w:rsidR="008B54D4">
        <w:rPr>
          <w:color w:val="000000"/>
        </w:rPr>
        <w:t>,</w:t>
      </w:r>
      <w:r>
        <w:rPr>
          <w:color w:val="000000"/>
        </w:rPr>
        <w:t xml:space="preserve"> </w:t>
      </w:r>
      <w:r w:rsidR="006239B5">
        <w:rPr>
          <w:color w:val="000000"/>
        </w:rPr>
        <w:t>Oxy</w:t>
      </w:r>
      <w:r>
        <w:rPr>
          <w:color w:val="000000"/>
        </w:rPr>
        <w:t xml:space="preserve"> entered into a consent judgment with each government party</w:t>
      </w:r>
      <w:r w:rsidR="006A227C">
        <w:rPr>
          <w:color w:val="000000"/>
        </w:rPr>
        <w:t xml:space="preserve">.  </w:t>
      </w:r>
      <w:r w:rsidR="00556903">
        <w:rPr>
          <w:color w:val="000000"/>
        </w:rPr>
        <w:t>S</w:t>
      </w:r>
      <w:r>
        <w:rPr>
          <w:i/>
          <w:iCs/>
          <w:color w:val="000000"/>
        </w:rPr>
        <w:t>ee</w:t>
      </w:r>
      <w:r w:rsidR="008B54D4">
        <w:rPr>
          <w:i/>
          <w:iCs/>
          <w:color w:val="000000"/>
        </w:rPr>
        <w:t>,</w:t>
      </w:r>
      <w:r>
        <w:rPr>
          <w:i/>
          <w:iCs/>
          <w:color w:val="000000"/>
        </w:rPr>
        <w:t xml:space="preserve"> e.g.</w:t>
      </w:r>
      <w:r w:rsidR="008B54D4">
        <w:rPr>
          <w:color w:val="000000"/>
        </w:rPr>
        <w:t>,</w:t>
      </w:r>
      <w:r>
        <w:rPr>
          <w:color w:val="000000"/>
        </w:rPr>
        <w:t xml:space="preserve"> Consent Judgement</w:t>
      </w:r>
      <w:r w:rsidR="008B54D4">
        <w:rPr>
          <w:color w:val="000000"/>
        </w:rPr>
        <w:t>,</w:t>
      </w:r>
      <w:r w:rsidR="000B6024">
        <w:rPr>
          <w:color w:val="000000"/>
        </w:rPr>
        <w:t xml:space="preserve"> </w:t>
      </w:r>
      <w:r w:rsidR="00556903">
        <w:rPr>
          <w:i/>
          <w:iCs/>
          <w:color w:val="000000"/>
        </w:rPr>
        <w:t>Jefferso</w:t>
      </w:r>
      <w:r>
        <w:rPr>
          <w:i/>
          <w:iCs/>
          <w:color w:val="000000"/>
        </w:rPr>
        <w:t>n</w:t>
      </w:r>
      <w:r w:rsidR="00E150C1">
        <w:rPr>
          <w:i/>
          <w:iCs/>
          <w:color w:val="000000"/>
        </w:rPr>
        <w:t xml:space="preserve"> v. </w:t>
      </w:r>
      <w:r w:rsidR="006239B5">
        <w:rPr>
          <w:i/>
          <w:iCs/>
          <w:color w:val="000000"/>
        </w:rPr>
        <w:t>Oxy</w:t>
      </w:r>
      <w:r>
        <w:rPr>
          <w:i/>
          <w:iCs/>
          <w:color w:val="000000"/>
        </w:rPr>
        <w:t xml:space="preserve"> Pharma L.P.</w:t>
      </w:r>
      <w:r w:rsidR="008B54D4">
        <w:rPr>
          <w:color w:val="000000"/>
        </w:rPr>
        <w:t>,</w:t>
      </w:r>
      <w:r>
        <w:rPr>
          <w:color w:val="000000"/>
        </w:rPr>
        <w:t xml:space="preserve"> Cause No</w:t>
      </w:r>
      <w:r w:rsidR="006A227C">
        <w:rPr>
          <w:color w:val="000000"/>
        </w:rPr>
        <w:t xml:space="preserve">. </w:t>
      </w:r>
      <w:r>
        <w:rPr>
          <w:color w:val="000000"/>
        </w:rPr>
        <w:t>07-2-00917-2 (</w:t>
      </w:r>
      <w:r w:rsidR="004F2BA9">
        <w:rPr>
          <w:color w:val="000000"/>
        </w:rPr>
        <w:t xml:space="preserve">Sup. Ct. </w:t>
      </w:r>
      <w:r>
        <w:rPr>
          <w:color w:val="000000"/>
        </w:rPr>
        <w:t>Wash</w:t>
      </w:r>
      <w:r w:rsidR="006A227C">
        <w:rPr>
          <w:color w:val="000000"/>
        </w:rPr>
        <w:t xml:space="preserve">.  </w:t>
      </w:r>
      <w:r>
        <w:rPr>
          <w:color w:val="000000"/>
        </w:rPr>
        <w:t>Thurston Cnty</w:t>
      </w:r>
      <w:r w:rsidR="006A227C">
        <w:rPr>
          <w:color w:val="000000"/>
        </w:rPr>
        <w:t xml:space="preserve">. </w:t>
      </w:r>
      <w:r>
        <w:rPr>
          <w:color w:val="000000"/>
        </w:rPr>
        <w:t>May 9</w:t>
      </w:r>
      <w:r w:rsidR="008B54D4">
        <w:rPr>
          <w:color w:val="000000"/>
        </w:rPr>
        <w:t>,</w:t>
      </w:r>
      <w:r>
        <w:rPr>
          <w:color w:val="000000"/>
        </w:rPr>
        <w:t xml:space="preserve"> 2007)</w:t>
      </w:r>
      <w:r w:rsidR="008B54D4">
        <w:rPr>
          <w:color w:val="000000"/>
        </w:rPr>
        <w:t>,</w:t>
      </w:r>
      <w:r>
        <w:rPr>
          <w:color w:val="000000"/>
        </w:rPr>
        <w:t xml:space="preserve"> at Section I(M)</w:t>
      </w:r>
      <w:r w:rsidR="008B54D4">
        <w:rPr>
          <w:color w:val="000000"/>
        </w:rPr>
        <w:t>,</w:t>
      </w:r>
      <w:r>
        <w:rPr>
          <w:color w:val="000000"/>
        </w:rPr>
        <w:t xml:space="preserve"> </w:t>
      </w:r>
      <w:r w:rsidR="004F2BA9">
        <w:rPr>
          <w:color w:val="000000"/>
        </w:rPr>
        <w:t>“</w:t>
      </w:r>
      <w:r>
        <w:rPr>
          <w:color w:val="000000"/>
        </w:rPr>
        <w:t>25 (“Consent Judgment”).</w:t>
      </w:r>
    </w:p>
    <w:p w14:paraId="63338CF7" w14:textId="46BF54B1" w:rsidR="00A77BBD" w:rsidRPr="00556903" w:rsidRDefault="00A77BBD" w:rsidP="00A77BBD">
      <w:pPr>
        <w:pStyle w:val="BodyTextFirstIndent"/>
        <w:rPr>
          <w:i/>
          <w:iCs/>
        </w:rPr>
      </w:pPr>
      <w:r>
        <w:rPr>
          <w:color w:val="000000"/>
        </w:rPr>
        <w:t>Pursuant to the Consent Judgment</w:t>
      </w:r>
      <w:r w:rsidR="008B54D4">
        <w:rPr>
          <w:color w:val="000000"/>
        </w:rPr>
        <w:t>,</w:t>
      </w:r>
      <w:r>
        <w:rPr>
          <w:color w:val="000000"/>
        </w:rPr>
        <w:t xml:space="preserve"> </w:t>
      </w:r>
      <w:r w:rsidR="006239B5">
        <w:rPr>
          <w:color w:val="000000"/>
        </w:rPr>
        <w:t>Oxy</w:t>
      </w:r>
      <w:r>
        <w:rPr>
          <w:color w:val="000000"/>
        </w:rPr>
        <w:t xml:space="preserve"> agreed to “establish</w:t>
      </w:r>
      <w:r w:rsidR="008B54D4">
        <w:rPr>
          <w:color w:val="000000"/>
        </w:rPr>
        <w:t>,</w:t>
      </w:r>
      <w:r>
        <w:rPr>
          <w:color w:val="000000"/>
        </w:rPr>
        <w:t xml:space="preserve"> implement and follow an </w:t>
      </w:r>
      <w:r w:rsidR="00E82FD6">
        <w:rPr>
          <w:color w:val="000000"/>
        </w:rPr>
        <w:t>Oxy</w:t>
      </w:r>
      <w:r w:rsidR="00B747C6">
        <w:rPr>
          <w:color w:val="000000"/>
        </w:rPr>
        <w:t>con</w:t>
      </w:r>
      <w:r>
        <w:rPr>
          <w:color w:val="000000"/>
        </w:rPr>
        <w:t xml:space="preserve"> abuse and diversion detection” (“ADD”) program which “consist[ed] of internal procedures designed to identify potential abuse or diversion of </w:t>
      </w:r>
      <w:r w:rsidR="00E82FD6">
        <w:rPr>
          <w:color w:val="000000"/>
        </w:rPr>
        <w:t>Oxy</w:t>
      </w:r>
      <w:r w:rsidR="00B747C6">
        <w:rPr>
          <w:color w:val="000000"/>
        </w:rPr>
        <w:t>con</w:t>
      </w:r>
      <w:r>
        <w:rPr>
          <w:color w:val="000000"/>
        </w:rPr>
        <w:t>” for a minimum of ten years</w:t>
      </w:r>
      <w:r w:rsidR="006A227C">
        <w:rPr>
          <w:color w:val="000000"/>
        </w:rPr>
        <w:t xml:space="preserve">.  </w:t>
      </w:r>
      <w:r>
        <w:rPr>
          <w:color w:val="000000"/>
        </w:rPr>
        <w:t>(</w:t>
      </w:r>
      <w:r>
        <w:rPr>
          <w:i/>
          <w:iCs/>
          <w:color w:val="000000"/>
        </w:rPr>
        <w:t>See</w:t>
      </w:r>
      <w:r>
        <w:rPr>
          <w:color w:val="000000"/>
        </w:rPr>
        <w:t xml:space="preserve"> Consent Judgment</w:t>
      </w:r>
      <w:r w:rsidR="008B54D4">
        <w:rPr>
          <w:color w:val="000000"/>
        </w:rPr>
        <w:t>,</w:t>
      </w:r>
      <w:r>
        <w:rPr>
          <w:color w:val="000000"/>
        </w:rPr>
        <w:t xml:space="preserve"> </w:t>
      </w:r>
      <w:r w:rsidR="00643208">
        <w:rPr>
          <w:color w:val="000000"/>
        </w:rPr>
        <w:t>¶¶</w:t>
      </w:r>
      <w:r>
        <w:rPr>
          <w:color w:val="000000"/>
        </w:rPr>
        <w:t>13-14)</w:t>
      </w:r>
      <w:r w:rsidR="006A227C">
        <w:rPr>
          <w:color w:val="000000"/>
        </w:rPr>
        <w:t xml:space="preserve">.  </w:t>
      </w:r>
      <w:r w:rsidR="006239B5">
        <w:rPr>
          <w:color w:val="000000"/>
        </w:rPr>
        <w:t>Oxy</w:t>
      </w:r>
      <w:r>
        <w:rPr>
          <w:color w:val="000000"/>
        </w:rPr>
        <w:t xml:space="preserve"> also agreed to submit “annual compliance certifications to a multistate group of attorneys general for three years.”</w:t>
      </w:r>
      <w:r w:rsidR="004F2BA9">
        <w:rPr>
          <w:color w:val="000000"/>
        </w:rPr>
        <w:t xml:space="preserve"> </w:t>
      </w:r>
      <w:r>
        <w:rPr>
          <w:color w:val="000000"/>
        </w:rPr>
        <w:t xml:space="preserve"> </w:t>
      </w:r>
      <w:r w:rsidR="00556903">
        <w:rPr>
          <w:i/>
          <w:iCs/>
          <w:color w:val="000000"/>
        </w:rPr>
        <w:t>Id.</w:t>
      </w:r>
    </w:p>
    <w:p w14:paraId="3DA4BFB8" w14:textId="3F7D11BD" w:rsidR="00643208" w:rsidRDefault="00A77BBD" w:rsidP="00A77BBD">
      <w:pPr>
        <w:pStyle w:val="BodyTextFirstIndent"/>
        <w:rPr>
          <w:color w:val="000000"/>
        </w:rPr>
      </w:pPr>
      <w:r>
        <w:rPr>
          <w:color w:val="000000"/>
        </w:rPr>
        <w:t xml:space="preserve">In exchange for </w:t>
      </w:r>
      <w:r w:rsidR="006239B5">
        <w:rPr>
          <w:color w:val="000000"/>
        </w:rPr>
        <w:t>Oxy</w:t>
      </w:r>
      <w:r w:rsidR="008B54D4">
        <w:rPr>
          <w:color w:val="000000"/>
        </w:rPr>
        <w:t>’</w:t>
      </w:r>
      <w:r>
        <w:rPr>
          <w:color w:val="000000"/>
        </w:rPr>
        <w:t>s payment and compliance</w:t>
      </w:r>
      <w:r w:rsidR="008B54D4">
        <w:rPr>
          <w:color w:val="000000"/>
        </w:rPr>
        <w:t>,</w:t>
      </w:r>
      <w:r>
        <w:rPr>
          <w:color w:val="000000"/>
        </w:rPr>
        <w:t xml:space="preserve"> the settling States agreed to:</w:t>
      </w:r>
    </w:p>
    <w:p w14:paraId="4BB3C58F" w14:textId="7364F4C8" w:rsidR="00A77BBD" w:rsidRDefault="00A77BBD" w:rsidP="008E21E5">
      <w:pPr>
        <w:pStyle w:val="BlockText"/>
      </w:pPr>
      <w:r>
        <w:t>release[] and forever discharge[]</w:t>
      </w:r>
      <w:r w:rsidR="008B54D4">
        <w:t>,</w:t>
      </w:r>
      <w:r>
        <w:t xml:space="preserve"> to the fullest extent permitted by law</w:t>
      </w:r>
      <w:r w:rsidR="008B54D4">
        <w:t>,</w:t>
      </w:r>
      <w:r>
        <w:t xml:space="preserve"> </w:t>
      </w:r>
      <w:r w:rsidR="006239B5">
        <w:rPr>
          <w:i/>
          <w:iCs/>
        </w:rPr>
        <w:t>Oxy</w:t>
      </w:r>
      <w:r>
        <w:rPr>
          <w:i/>
          <w:iCs/>
        </w:rPr>
        <w:t xml:space="preserve"> and its past and present officers</w:t>
      </w:r>
      <w:r w:rsidR="008B54D4">
        <w:rPr>
          <w:i/>
          <w:iCs/>
        </w:rPr>
        <w:t>,</w:t>
      </w:r>
      <w:r>
        <w:rPr>
          <w:i/>
          <w:iCs/>
        </w:rPr>
        <w:t xml:space="preserve"> directors</w:t>
      </w:r>
      <w:r w:rsidR="008B54D4">
        <w:rPr>
          <w:i/>
          <w:iCs/>
        </w:rPr>
        <w:t>,</w:t>
      </w:r>
      <w:r>
        <w:rPr>
          <w:i/>
          <w:iCs/>
        </w:rPr>
        <w:t xml:space="preserve"> shareholders</w:t>
      </w:r>
      <w:r w:rsidR="008B54D4">
        <w:rPr>
          <w:i/>
          <w:iCs/>
        </w:rPr>
        <w:t>,</w:t>
      </w:r>
      <w:r>
        <w:t xml:space="preserve"> employees</w:t>
      </w:r>
      <w:r w:rsidR="008B54D4">
        <w:t>,</w:t>
      </w:r>
      <w:r>
        <w:t xml:space="preserve"> co-promoters</w:t>
      </w:r>
      <w:r w:rsidR="008B54D4">
        <w:t>,</w:t>
      </w:r>
      <w:r>
        <w:t xml:space="preserve"> affiliates</w:t>
      </w:r>
      <w:r w:rsidR="008B54D4">
        <w:t>,</w:t>
      </w:r>
      <w:r>
        <w:t xml:space="preserve"> parents</w:t>
      </w:r>
      <w:r w:rsidR="008B54D4">
        <w:t>,</w:t>
      </w:r>
      <w:r>
        <w:t xml:space="preserve"> subsidiaries</w:t>
      </w:r>
      <w:r w:rsidR="008B54D4">
        <w:t>,</w:t>
      </w:r>
      <w:r>
        <w:t xml:space="preserve"> predecessors</w:t>
      </w:r>
      <w:r w:rsidR="008B54D4">
        <w:t>,</w:t>
      </w:r>
      <w:r>
        <w:t xml:space="preserve"> assigns</w:t>
      </w:r>
      <w:r w:rsidR="008B54D4">
        <w:t>,</w:t>
      </w:r>
      <w:r>
        <w:t xml:space="preserve"> and successors ( collectively</w:t>
      </w:r>
      <w:r w:rsidR="008B54D4">
        <w:t>,</w:t>
      </w:r>
      <w:r>
        <w:t xml:space="preserve"> the “Releasees”)</w:t>
      </w:r>
      <w:r w:rsidR="008B54D4">
        <w:t>,</w:t>
      </w:r>
      <w:r>
        <w:t xml:space="preserve"> of and from any and all civil causes of action</w:t>
      </w:r>
      <w:r w:rsidR="008B54D4">
        <w:t>,</w:t>
      </w:r>
      <w:r>
        <w:t xml:space="preserve"> claims</w:t>
      </w:r>
      <w:r w:rsidR="008B54D4">
        <w:t>,</w:t>
      </w:r>
      <w:r>
        <w:t xml:space="preserve"> damages</w:t>
      </w:r>
      <w:r w:rsidR="008B54D4">
        <w:t>,</w:t>
      </w:r>
      <w:r>
        <w:t xml:space="preserve"> costs</w:t>
      </w:r>
      <w:r w:rsidR="008B54D4">
        <w:t>,</w:t>
      </w:r>
      <w:r>
        <w:t xml:space="preserve"> attorney</w:t>
      </w:r>
      <w:r w:rsidR="008B54D4">
        <w:t>’</w:t>
      </w:r>
      <w:r>
        <w:t>s fees</w:t>
      </w:r>
      <w:r w:rsidR="008B54D4">
        <w:t>,</w:t>
      </w:r>
      <w:r>
        <w:t xml:space="preserve"> or penalties that the Attorney General could have asserted against the Releasees under the State Consumer Protection Law by reason of any conduct that has occurred at any time up to and including the Effective Date of this Judgment relating to or based upon the Subject Matter of this Judgment (“Released Claims”).</w:t>
      </w:r>
    </w:p>
    <w:p w14:paraId="2FE23904" w14:textId="7901C09B" w:rsidR="00A77BBD" w:rsidRDefault="00A77BBD" w:rsidP="00643208">
      <w:pPr>
        <w:pStyle w:val="BodyTextFirstIndent"/>
        <w:ind w:firstLine="0"/>
      </w:pPr>
      <w:r>
        <w:rPr>
          <w:color w:val="000000"/>
        </w:rPr>
        <w:t>(Consent Judgement</w:t>
      </w:r>
      <w:r w:rsidR="008B54D4">
        <w:rPr>
          <w:color w:val="000000"/>
        </w:rPr>
        <w:t>,</w:t>
      </w:r>
      <w:r>
        <w:rPr>
          <w:color w:val="000000"/>
        </w:rPr>
        <w:t xml:space="preserve"> Section VI) (emphasis added)</w:t>
      </w:r>
      <w:r w:rsidR="006A227C">
        <w:rPr>
          <w:color w:val="000000"/>
        </w:rPr>
        <w:t xml:space="preserve">.  </w:t>
      </w:r>
      <w:r>
        <w:rPr>
          <w:color w:val="000000"/>
        </w:rPr>
        <w:t xml:space="preserve">According to Judge </w:t>
      </w:r>
      <w:r w:rsidR="00E82FD6">
        <w:rPr>
          <w:color w:val="000000"/>
        </w:rPr>
        <w:t>Wains</w:t>
      </w:r>
      <w:r w:rsidR="008B54D4">
        <w:rPr>
          <w:color w:val="000000"/>
        </w:rPr>
        <w:t>,</w:t>
      </w:r>
      <w:r>
        <w:rPr>
          <w:color w:val="000000"/>
        </w:rPr>
        <w:t xml:space="preserve"> these 200</w:t>
      </w:r>
      <w:r w:rsidR="00556903">
        <w:rPr>
          <w:color w:val="000000"/>
        </w:rPr>
        <w:t>8</w:t>
      </w:r>
      <w:r>
        <w:rPr>
          <w:color w:val="000000"/>
        </w:rPr>
        <w:t xml:space="preserve"> releases covered about seventy-seven members of the </w:t>
      </w:r>
      <w:r w:rsidR="00E82FD6">
        <w:rPr>
          <w:color w:val="000000"/>
        </w:rPr>
        <w:t>Packler</w:t>
      </w:r>
      <w:r>
        <w:rPr>
          <w:color w:val="000000"/>
        </w:rPr>
        <w:t xml:space="preserve"> family</w:t>
      </w:r>
      <w:r w:rsidR="006A227C">
        <w:rPr>
          <w:color w:val="000000"/>
        </w:rPr>
        <w:t xml:space="preserve">.  </w:t>
      </w:r>
      <w:r>
        <w:rPr>
          <w:i/>
          <w:iCs/>
          <w:color w:val="000000"/>
        </w:rPr>
        <w:t xml:space="preserve">In re </w:t>
      </w:r>
      <w:r w:rsidR="006239B5">
        <w:rPr>
          <w:i/>
          <w:iCs/>
          <w:color w:val="000000"/>
        </w:rPr>
        <w:t>Oxy</w:t>
      </w:r>
      <w:r>
        <w:rPr>
          <w:i/>
          <w:iCs/>
          <w:color w:val="000000"/>
        </w:rPr>
        <w:t xml:space="preserve"> Pharma L.P.</w:t>
      </w:r>
      <w:r w:rsidR="008B54D4">
        <w:rPr>
          <w:color w:val="000000"/>
        </w:rPr>
        <w:t>,</w:t>
      </w:r>
      <w:r>
        <w:rPr>
          <w:color w:val="000000"/>
        </w:rPr>
        <w:t xml:space="preserve"> </w:t>
      </w:r>
      <w:hyperlink r:id="rId22" w:history="1">
        <w:r>
          <w:rPr>
            <w:color w:val="000000"/>
          </w:rPr>
          <w:t>2021 WL</w:t>
        </w:r>
      </w:hyperlink>
      <w:r w:rsidR="00643208">
        <w:rPr>
          <w:color w:val="000000"/>
        </w:rPr>
        <w:t xml:space="preserve"> </w:t>
      </w:r>
      <w:hyperlink r:id="rId23" w:history="1">
        <w:r>
          <w:rPr>
            <w:color w:val="000000"/>
          </w:rPr>
          <w:t>4240974</w:t>
        </w:r>
      </w:hyperlink>
      <w:r w:rsidR="008B54D4">
        <w:rPr>
          <w:color w:val="000000"/>
        </w:rPr>
        <w:t>,</w:t>
      </w:r>
      <w:r>
        <w:rPr>
          <w:color w:val="000000"/>
        </w:rPr>
        <w:t xml:space="preserve"> at *31</w:t>
      </w:r>
      <w:r w:rsidR="006A227C">
        <w:rPr>
          <w:color w:val="000000"/>
        </w:rPr>
        <w:t xml:space="preserve">.  </w:t>
      </w:r>
      <w:r>
        <w:rPr>
          <w:color w:val="000000"/>
        </w:rPr>
        <w:t>The release covered only claims that could have been asserted by the Attorneys General of the settling states; among the claims that were not released were:  (1) private rights of action by consumers</w:t>
      </w:r>
      <w:r w:rsidR="008B54D4">
        <w:rPr>
          <w:color w:val="000000"/>
        </w:rPr>
        <w:t>,</w:t>
      </w:r>
      <w:r>
        <w:rPr>
          <w:color w:val="000000"/>
        </w:rPr>
        <w:t xml:space="preserve"> (2) claims relating to best price</w:t>
      </w:r>
      <w:r w:rsidR="008B54D4">
        <w:rPr>
          <w:color w:val="000000"/>
        </w:rPr>
        <w:t>,</w:t>
      </w:r>
      <w:r>
        <w:rPr>
          <w:color w:val="000000"/>
        </w:rPr>
        <w:t xml:space="preserve"> average wholesale price or wholesale acquisition cost reporting practices or Medicaid fraud or abuse; (3) claims asserting antitrust</w:t>
      </w:r>
      <w:r w:rsidR="008B54D4">
        <w:rPr>
          <w:color w:val="000000"/>
        </w:rPr>
        <w:t>,</w:t>
      </w:r>
      <w:r>
        <w:rPr>
          <w:color w:val="000000"/>
        </w:rPr>
        <w:t xml:space="preserve"> environmental or tax liability; (4) claims for property damage; (5) claims to enforce the terms and conditions of the judgment; and (6) any state or federal criminal liability that any person or entity</w:t>
      </w:r>
      <w:r w:rsidR="008B54D4">
        <w:rPr>
          <w:color w:val="000000"/>
        </w:rPr>
        <w:t>,</w:t>
      </w:r>
      <w:r>
        <w:rPr>
          <w:color w:val="000000"/>
        </w:rPr>
        <w:t xml:space="preserve"> including Releases</w:t>
      </w:r>
      <w:r w:rsidR="007362D6">
        <w:rPr>
          <w:color w:val="000000"/>
        </w:rPr>
        <w:t xml:space="preserve"> (as defined in the Plan)</w:t>
      </w:r>
      <w:r w:rsidR="008B54D4">
        <w:rPr>
          <w:color w:val="000000"/>
        </w:rPr>
        <w:t>,</w:t>
      </w:r>
      <w:r>
        <w:rPr>
          <w:color w:val="000000"/>
        </w:rPr>
        <w:t xml:space="preserve"> has or may have to the settling state.</w:t>
      </w:r>
    </w:p>
    <w:p w14:paraId="0D7F27F0" w14:textId="62147689" w:rsidR="00A77BBD" w:rsidRDefault="00A77BBD" w:rsidP="00A77BBD">
      <w:pPr>
        <w:pStyle w:val="BodyTextFirstIndent"/>
      </w:pPr>
      <w:r>
        <w:rPr>
          <w:color w:val="000000"/>
        </w:rPr>
        <w:t>Some of the states did not participate in this 200</w:t>
      </w:r>
      <w:r w:rsidR="00556903">
        <w:rPr>
          <w:color w:val="000000"/>
        </w:rPr>
        <w:t>8</w:t>
      </w:r>
      <w:r>
        <w:rPr>
          <w:color w:val="000000"/>
        </w:rPr>
        <w:t xml:space="preserve"> Settlement</w:t>
      </w:r>
      <w:r w:rsidR="006A227C">
        <w:rPr>
          <w:color w:val="000000"/>
        </w:rPr>
        <w:t xml:space="preserve">.  </w:t>
      </w:r>
      <w:r>
        <w:rPr>
          <w:color w:val="000000"/>
        </w:rPr>
        <w:t xml:space="preserve">Several had already entered into individual settlements with </w:t>
      </w:r>
      <w:r w:rsidR="006239B5">
        <w:rPr>
          <w:color w:val="000000"/>
        </w:rPr>
        <w:t>Oxy</w:t>
      </w:r>
      <w:r w:rsidR="008B54D4">
        <w:rPr>
          <w:color w:val="000000"/>
        </w:rPr>
        <w:t>,</w:t>
      </w:r>
      <w:r>
        <w:rPr>
          <w:color w:val="000000"/>
        </w:rPr>
        <w:t xml:space="preserve"> while others entered into separate settlements subsequently</w:t>
      </w:r>
      <w:r w:rsidR="006A227C">
        <w:rPr>
          <w:color w:val="000000"/>
        </w:rPr>
        <w:t xml:space="preserve">.  </w:t>
      </w:r>
      <w:r>
        <w:rPr>
          <w:color w:val="000000"/>
        </w:rPr>
        <w:t>For example</w:t>
      </w:r>
      <w:r w:rsidR="008B54D4">
        <w:rPr>
          <w:color w:val="000000"/>
        </w:rPr>
        <w:t>,</w:t>
      </w:r>
      <w:r>
        <w:rPr>
          <w:color w:val="000000"/>
        </w:rPr>
        <w:t xml:space="preserve"> in 2002</w:t>
      </w:r>
      <w:r w:rsidR="008B54D4">
        <w:rPr>
          <w:color w:val="000000"/>
        </w:rPr>
        <w:t>,</w:t>
      </w:r>
      <w:r>
        <w:rPr>
          <w:color w:val="000000"/>
        </w:rPr>
        <w:t xml:space="preserve"> Florida settled an investigation into </w:t>
      </w:r>
      <w:r w:rsidR="006239B5">
        <w:rPr>
          <w:color w:val="000000"/>
        </w:rPr>
        <w:t>Oxy</w:t>
      </w:r>
      <w:r>
        <w:rPr>
          <w:color w:val="000000"/>
        </w:rPr>
        <w:t xml:space="preserve"> for $500</w:t>
      </w:r>
      <w:r w:rsidR="008B54D4">
        <w:rPr>
          <w:color w:val="000000"/>
        </w:rPr>
        <w:t>,</w:t>
      </w:r>
      <w:r>
        <w:rPr>
          <w:color w:val="000000"/>
        </w:rPr>
        <w:t>000</w:t>
      </w:r>
      <w:r w:rsidR="00556903">
        <w:rPr>
          <w:color w:val="000000"/>
        </w:rPr>
        <w:t xml:space="preserve">; </w:t>
      </w:r>
      <w:r>
        <w:rPr>
          <w:color w:val="000000"/>
        </w:rPr>
        <w:t>in 2004</w:t>
      </w:r>
      <w:r w:rsidR="008B54D4">
        <w:rPr>
          <w:color w:val="000000"/>
        </w:rPr>
        <w:t>,</w:t>
      </w:r>
      <w:r>
        <w:rPr>
          <w:color w:val="000000"/>
        </w:rPr>
        <w:t xml:space="preserve"> West Virginia settled an action against </w:t>
      </w:r>
      <w:r w:rsidR="006239B5">
        <w:rPr>
          <w:color w:val="000000"/>
        </w:rPr>
        <w:t>Oxy</w:t>
      </w:r>
      <w:r>
        <w:rPr>
          <w:color w:val="000000"/>
        </w:rPr>
        <w:t xml:space="preserve"> for $10 million; in 2006</w:t>
      </w:r>
      <w:r w:rsidR="008B54D4">
        <w:rPr>
          <w:color w:val="000000"/>
        </w:rPr>
        <w:t>,</w:t>
      </w:r>
      <w:r>
        <w:rPr>
          <w:color w:val="000000"/>
        </w:rPr>
        <w:t xml:space="preserve"> Mississippi settled its investigation into </w:t>
      </w:r>
      <w:r w:rsidR="006239B5">
        <w:rPr>
          <w:color w:val="000000"/>
        </w:rPr>
        <w:t>Oxy</w:t>
      </w:r>
      <w:r>
        <w:rPr>
          <w:color w:val="000000"/>
        </w:rPr>
        <w:t xml:space="preserve"> for $250</w:t>
      </w:r>
      <w:r w:rsidR="008B54D4">
        <w:rPr>
          <w:color w:val="000000"/>
        </w:rPr>
        <w:t>,</w:t>
      </w:r>
      <w:r>
        <w:rPr>
          <w:color w:val="000000"/>
        </w:rPr>
        <w:t>000</w:t>
      </w:r>
      <w:r w:rsidR="006A227C">
        <w:rPr>
          <w:color w:val="000000"/>
        </w:rPr>
        <w:t xml:space="preserve">.  </w:t>
      </w:r>
      <w:r>
        <w:rPr>
          <w:color w:val="000000"/>
        </w:rPr>
        <w:t>In 2015</w:t>
      </w:r>
      <w:r w:rsidR="008B54D4">
        <w:rPr>
          <w:color w:val="000000"/>
        </w:rPr>
        <w:t>,</w:t>
      </w:r>
      <w:r>
        <w:rPr>
          <w:color w:val="000000"/>
        </w:rPr>
        <w:t xml:space="preserve"> New York signed an assurance of dis</w:t>
      </w:r>
      <w:r w:rsidR="007362D6">
        <w:rPr>
          <w:color w:val="000000"/>
        </w:rPr>
        <w:t>con</w:t>
      </w:r>
      <w:r w:rsidR="003B7D4B">
        <w:rPr>
          <w:color w:val="000000"/>
        </w:rPr>
        <w:t>tin</w:t>
      </w:r>
      <w:r>
        <w:rPr>
          <w:color w:val="000000"/>
        </w:rPr>
        <w:t xml:space="preserve">uance of its investigation in exchange for </w:t>
      </w:r>
      <w:r w:rsidR="006239B5">
        <w:rPr>
          <w:color w:val="000000"/>
        </w:rPr>
        <w:t>Oxy</w:t>
      </w:r>
      <w:r w:rsidR="008B54D4">
        <w:rPr>
          <w:color w:val="000000"/>
        </w:rPr>
        <w:t>’</w:t>
      </w:r>
      <w:r>
        <w:rPr>
          <w:color w:val="000000"/>
        </w:rPr>
        <w:t>s payment of a $75</w:t>
      </w:r>
      <w:r w:rsidR="008B54D4">
        <w:rPr>
          <w:color w:val="000000"/>
        </w:rPr>
        <w:t>,</w:t>
      </w:r>
      <w:r>
        <w:rPr>
          <w:color w:val="000000"/>
        </w:rPr>
        <w:t>000 penalty and certain promises</w:t>
      </w:r>
      <w:r w:rsidR="008B54D4">
        <w:rPr>
          <w:color w:val="000000"/>
        </w:rPr>
        <w:t>,</w:t>
      </w:r>
      <w:r>
        <w:rPr>
          <w:color w:val="000000"/>
        </w:rPr>
        <w:t xml:space="preserve"> including ongoing implementation of the ADD program in New York and submission to annual reviews and monitoring by the Attorney General</w:t>
      </w:r>
      <w:r w:rsidR="006A227C">
        <w:rPr>
          <w:color w:val="000000"/>
        </w:rPr>
        <w:t xml:space="preserve">.  </w:t>
      </w:r>
      <w:r>
        <w:rPr>
          <w:color w:val="000000"/>
        </w:rPr>
        <w:t>In 2016</w:t>
      </w:r>
      <w:r w:rsidR="008B54D4">
        <w:rPr>
          <w:color w:val="000000"/>
        </w:rPr>
        <w:t>,</w:t>
      </w:r>
      <w:r w:rsidR="00CC48AD">
        <w:rPr>
          <w:color w:val="000000"/>
        </w:rPr>
        <w:t xml:space="preserve"> </w:t>
      </w:r>
      <w:r>
        <w:rPr>
          <w:color w:val="000000"/>
        </w:rPr>
        <w:t xml:space="preserve">Kentucky settled an action against </w:t>
      </w:r>
      <w:r w:rsidR="006239B5">
        <w:rPr>
          <w:color w:val="000000"/>
        </w:rPr>
        <w:t>Oxy</w:t>
      </w:r>
      <w:r>
        <w:rPr>
          <w:color w:val="000000"/>
        </w:rPr>
        <w:t xml:space="preserve"> for $24 million</w:t>
      </w:r>
      <w:r w:rsidR="006A227C">
        <w:rPr>
          <w:color w:val="000000"/>
        </w:rPr>
        <w:t xml:space="preserve">.  </w:t>
      </w:r>
      <w:r>
        <w:rPr>
          <w:color w:val="000000"/>
        </w:rPr>
        <w:t>And in March 2019</w:t>
      </w:r>
      <w:r w:rsidR="008B54D4">
        <w:rPr>
          <w:color w:val="000000"/>
        </w:rPr>
        <w:t>,</w:t>
      </w:r>
      <w:r>
        <w:rPr>
          <w:color w:val="000000"/>
        </w:rPr>
        <w:t xml:space="preserve"> </w:t>
      </w:r>
      <w:r w:rsidR="006239B5">
        <w:rPr>
          <w:color w:val="000000"/>
        </w:rPr>
        <w:t>Oxy</w:t>
      </w:r>
      <w:r>
        <w:rPr>
          <w:color w:val="000000"/>
        </w:rPr>
        <w:t xml:space="preserve"> agreed to pay the State of Oklahoma $270 million to settle that state</w:t>
      </w:r>
      <w:r w:rsidR="008B54D4">
        <w:rPr>
          <w:color w:val="000000"/>
        </w:rPr>
        <w:t>’</w:t>
      </w:r>
      <w:r>
        <w:rPr>
          <w:color w:val="000000"/>
        </w:rPr>
        <w:t>s opioid claims</w:t>
      </w:r>
      <w:r w:rsidR="006A227C">
        <w:rPr>
          <w:color w:val="000000"/>
        </w:rPr>
        <w:t xml:space="preserve">.  </w:t>
      </w:r>
      <w:r w:rsidR="007362D6">
        <w:rPr>
          <w:i/>
          <w:iCs/>
          <w:color w:val="000000"/>
        </w:rPr>
        <w:t>S</w:t>
      </w:r>
      <w:r>
        <w:rPr>
          <w:i/>
          <w:iCs/>
          <w:color w:val="000000"/>
        </w:rPr>
        <w:t>ee</w:t>
      </w:r>
      <w:r>
        <w:rPr>
          <w:color w:val="000000"/>
        </w:rPr>
        <w:t xml:space="preserve"> Consent Judgment</w:t>
      </w:r>
      <w:r w:rsidR="008B54D4">
        <w:rPr>
          <w:color w:val="000000"/>
        </w:rPr>
        <w:t>,</w:t>
      </w:r>
      <w:r>
        <w:rPr>
          <w:color w:val="000000"/>
        </w:rPr>
        <w:t xml:space="preserve"> </w:t>
      </w:r>
      <w:r>
        <w:rPr>
          <w:i/>
          <w:iCs/>
          <w:color w:val="000000"/>
        </w:rPr>
        <w:t>Oklahoma</w:t>
      </w:r>
      <w:r w:rsidR="00E150C1">
        <w:rPr>
          <w:i/>
          <w:iCs/>
          <w:color w:val="000000"/>
        </w:rPr>
        <w:t xml:space="preserve"> v. </w:t>
      </w:r>
      <w:r w:rsidR="006239B5">
        <w:rPr>
          <w:i/>
          <w:iCs/>
          <w:color w:val="000000"/>
        </w:rPr>
        <w:t>Oxy</w:t>
      </w:r>
      <w:r>
        <w:rPr>
          <w:i/>
          <w:iCs/>
          <w:color w:val="000000"/>
        </w:rPr>
        <w:t xml:space="preserve"> Pharma et al.</w:t>
      </w:r>
      <w:r w:rsidR="008B54D4">
        <w:rPr>
          <w:color w:val="000000"/>
        </w:rPr>
        <w:t>,</w:t>
      </w:r>
      <w:r>
        <w:rPr>
          <w:color w:val="000000"/>
        </w:rPr>
        <w:t xml:space="preserve"> No</w:t>
      </w:r>
      <w:r w:rsidR="006A227C">
        <w:rPr>
          <w:color w:val="000000"/>
        </w:rPr>
        <w:t xml:space="preserve">. </w:t>
      </w:r>
      <w:r>
        <w:rPr>
          <w:color w:val="000000"/>
        </w:rPr>
        <w:t>CJ- 2017-816</w:t>
      </w:r>
      <w:r w:rsidR="008B54D4">
        <w:rPr>
          <w:color w:val="000000"/>
        </w:rPr>
        <w:t>,</w:t>
      </w:r>
      <w:r>
        <w:rPr>
          <w:color w:val="000000"/>
        </w:rPr>
        <w:t xml:space="preserve"> § 4.1 (Dist</w:t>
      </w:r>
      <w:r w:rsidR="006A227C">
        <w:rPr>
          <w:color w:val="000000"/>
        </w:rPr>
        <w:t xml:space="preserve">. </w:t>
      </w:r>
      <w:r w:rsidR="004F2BA9">
        <w:rPr>
          <w:color w:val="000000"/>
        </w:rPr>
        <w:t xml:space="preserve">Ct. </w:t>
      </w:r>
      <w:r>
        <w:rPr>
          <w:color w:val="000000"/>
        </w:rPr>
        <w:t>Cleveland Cnty</w:t>
      </w:r>
      <w:r w:rsidR="006A227C">
        <w:rPr>
          <w:color w:val="000000"/>
        </w:rPr>
        <w:t xml:space="preserve">. </w:t>
      </w:r>
      <w:r>
        <w:rPr>
          <w:color w:val="000000"/>
        </w:rPr>
        <w:t>Mar</w:t>
      </w:r>
      <w:r w:rsidR="006A227C">
        <w:rPr>
          <w:color w:val="000000"/>
        </w:rPr>
        <w:t xml:space="preserve">. </w:t>
      </w:r>
      <w:r>
        <w:rPr>
          <w:color w:val="000000"/>
        </w:rPr>
        <w:t>26</w:t>
      </w:r>
      <w:r w:rsidR="008B54D4">
        <w:rPr>
          <w:color w:val="000000"/>
        </w:rPr>
        <w:t>,</w:t>
      </w:r>
      <w:r>
        <w:rPr>
          <w:color w:val="000000"/>
        </w:rPr>
        <w:t xml:space="preserve"> 2019).</w:t>
      </w:r>
    </w:p>
    <w:p w14:paraId="622BCA33" w14:textId="660B21DF" w:rsidR="00A77BBD" w:rsidRDefault="00A77BBD" w:rsidP="00A77BBD">
      <w:pPr>
        <w:pStyle w:val="BodyTextFirstIndent"/>
      </w:pPr>
      <w:r>
        <w:rPr>
          <w:color w:val="000000"/>
        </w:rPr>
        <w:t xml:space="preserve">The releases in these separate cases generally extinguished the claims of the respective state against </w:t>
      </w:r>
      <w:r w:rsidR="006239B5">
        <w:rPr>
          <w:color w:val="000000"/>
        </w:rPr>
        <w:t>Oxy</w:t>
      </w:r>
      <w:r>
        <w:rPr>
          <w:color w:val="000000"/>
        </w:rPr>
        <w:t xml:space="preserve"> for opioid-related miscondu</w:t>
      </w:r>
      <w:r w:rsidR="000004B0">
        <w:rPr>
          <w:color w:val="000000"/>
        </w:rPr>
        <w:t>c</w:t>
      </w:r>
      <w:r w:rsidR="004F2BA9">
        <w:rPr>
          <w:color w:val="000000"/>
        </w:rPr>
        <w:t xml:space="preserve">t. </w:t>
      </w:r>
      <w:r w:rsidR="000004B0">
        <w:rPr>
          <w:color w:val="000000"/>
        </w:rPr>
        <w:t xml:space="preserve"> </w:t>
      </w:r>
      <w:r>
        <w:rPr>
          <w:color w:val="000000"/>
        </w:rPr>
        <w:t>For example</w:t>
      </w:r>
      <w:r w:rsidR="008B54D4">
        <w:rPr>
          <w:color w:val="000000"/>
        </w:rPr>
        <w:t>,</w:t>
      </w:r>
      <w:r>
        <w:rPr>
          <w:color w:val="000000"/>
        </w:rPr>
        <w:t xml:space="preserve"> the West Virginia settlement released “any and all claims and demands” of the Attorney General of West Virginia (on behalf of the state and state agencies) against </w:t>
      </w:r>
      <w:r w:rsidR="006239B5">
        <w:rPr>
          <w:color w:val="000000"/>
        </w:rPr>
        <w:t>Oxy</w:t>
      </w:r>
      <w:r>
        <w:rPr>
          <w:color w:val="000000"/>
        </w:rPr>
        <w:t xml:space="preserve"> and its affiliates</w:t>
      </w:r>
      <w:r w:rsidR="008B54D4">
        <w:rPr>
          <w:color w:val="000000"/>
        </w:rPr>
        <w:t>,</w:t>
      </w:r>
      <w:r>
        <w:rPr>
          <w:color w:val="000000"/>
        </w:rPr>
        <w:t xml:space="preserve"> shareholders</w:t>
      </w:r>
      <w:r w:rsidR="008B54D4">
        <w:rPr>
          <w:color w:val="000000"/>
        </w:rPr>
        <w:t>,</w:t>
      </w:r>
      <w:r>
        <w:rPr>
          <w:color w:val="000000"/>
        </w:rPr>
        <w:t xml:space="preserve"> officers</w:t>
      </w:r>
      <w:r w:rsidR="008B54D4">
        <w:rPr>
          <w:color w:val="000000"/>
        </w:rPr>
        <w:t>,</w:t>
      </w:r>
      <w:r>
        <w:rPr>
          <w:color w:val="000000"/>
        </w:rPr>
        <w:t xml:space="preserve"> directors</w:t>
      </w:r>
      <w:r w:rsidR="008B54D4">
        <w:rPr>
          <w:color w:val="000000"/>
        </w:rPr>
        <w:t>,</w:t>
      </w:r>
      <w:r>
        <w:rPr>
          <w:color w:val="000000"/>
        </w:rPr>
        <w:t xml:space="preserve"> and others</w:t>
      </w:r>
      <w:r>
        <w:rPr>
          <w:rStyle w:val="FootnoteReference"/>
          <w:rFonts w:eastAsia="Times New Roman" w:cs="Times New Roman"/>
          <w:color w:val="000000"/>
          <w:vertAlign w:val="superscript"/>
        </w:rPr>
        <w:footnoteReference w:id="8"/>
      </w:r>
      <w:r>
        <w:rPr>
          <w:color w:val="000000"/>
        </w:rPr>
        <w:t xml:space="preserve"> that were “sustained or incurred as a result of the manufacture</w:t>
      </w:r>
      <w:r w:rsidR="008B54D4">
        <w:rPr>
          <w:color w:val="000000"/>
        </w:rPr>
        <w:t>,</w:t>
      </w:r>
      <w:r>
        <w:rPr>
          <w:color w:val="000000"/>
        </w:rPr>
        <w:t xml:space="preserve"> marketing and sale of </w:t>
      </w:r>
      <w:r w:rsidR="00E82FD6">
        <w:rPr>
          <w:color w:val="000000"/>
        </w:rPr>
        <w:t>Oxy</w:t>
      </w:r>
      <w:r>
        <w:rPr>
          <w:color w:val="000000"/>
        </w:rPr>
        <w:t>” in West Virginia</w:t>
      </w:r>
      <w:r w:rsidR="006A227C">
        <w:rPr>
          <w:color w:val="000000"/>
        </w:rPr>
        <w:t xml:space="preserve">. </w:t>
      </w:r>
      <w:r>
        <w:rPr>
          <w:color w:val="000000"/>
        </w:rPr>
        <w:t>Similarly</w:t>
      </w:r>
      <w:r w:rsidR="008B54D4">
        <w:rPr>
          <w:color w:val="000000"/>
        </w:rPr>
        <w:t>,</w:t>
      </w:r>
      <w:r>
        <w:rPr>
          <w:color w:val="000000"/>
        </w:rPr>
        <w:t xml:space="preserve"> the Oklahoma settlement released “any and all claims of any nature” of the Attorney General (the state and its subdivisions) against </w:t>
      </w:r>
      <w:r w:rsidR="006239B5">
        <w:rPr>
          <w:color w:val="000000"/>
        </w:rPr>
        <w:t>Oxy</w:t>
      </w:r>
      <w:r w:rsidR="008B54D4">
        <w:rPr>
          <w:color w:val="000000"/>
        </w:rPr>
        <w:t>,</w:t>
      </w:r>
      <w:r>
        <w:rPr>
          <w:color w:val="000000"/>
        </w:rPr>
        <w:t xml:space="preserve"> its officers</w:t>
      </w:r>
      <w:r w:rsidR="008B54D4">
        <w:rPr>
          <w:color w:val="000000"/>
        </w:rPr>
        <w:t>,</w:t>
      </w:r>
      <w:r>
        <w:rPr>
          <w:color w:val="000000"/>
        </w:rPr>
        <w:t xml:space="preserve"> directors</w:t>
      </w:r>
      <w:r w:rsidR="008B54D4">
        <w:rPr>
          <w:color w:val="000000"/>
        </w:rPr>
        <w:t>,</w:t>
      </w:r>
      <w:r>
        <w:rPr>
          <w:color w:val="000000"/>
        </w:rPr>
        <w:t xml:space="preserve"> shareholders</w:t>
      </w:r>
      <w:r w:rsidR="008B54D4">
        <w:rPr>
          <w:color w:val="000000"/>
        </w:rPr>
        <w:t>,</w:t>
      </w:r>
      <w:r>
        <w:rPr>
          <w:color w:val="000000"/>
        </w:rPr>
        <w:t xml:space="preserve"> direct and indirect owners</w:t>
      </w:r>
      <w:r w:rsidR="008B54D4">
        <w:rPr>
          <w:color w:val="000000"/>
        </w:rPr>
        <w:t>,</w:t>
      </w:r>
      <w:r>
        <w:rPr>
          <w:color w:val="000000"/>
        </w:rPr>
        <w:t xml:space="preserve"> beneficiaries of the owners</w:t>
      </w:r>
      <w:r w:rsidR="008B54D4">
        <w:rPr>
          <w:color w:val="000000"/>
        </w:rPr>
        <w:t>,</w:t>
      </w:r>
      <w:r>
        <w:rPr>
          <w:color w:val="000000"/>
        </w:rPr>
        <w:t xml:space="preserve"> and enumerated others</w:t>
      </w:r>
      <w:r w:rsidR="008B54D4">
        <w:rPr>
          <w:color w:val="000000"/>
        </w:rPr>
        <w:t>,</w:t>
      </w:r>
      <w:r>
        <w:rPr>
          <w:color w:val="000000"/>
        </w:rPr>
        <w:t xml:space="preserve"> arising out of the conduct alleged in the complaint</w:t>
      </w:r>
      <w:r w:rsidR="008B54D4">
        <w:rPr>
          <w:color w:val="000000"/>
        </w:rPr>
        <w:t>,</w:t>
      </w:r>
      <w:r>
        <w:rPr>
          <w:color w:val="000000"/>
        </w:rPr>
        <w:t xml:space="preserve"> including conduct related to the marketing and sale of opioids in Oklahoma</w:t>
      </w:r>
      <w:r w:rsidR="006A227C">
        <w:rPr>
          <w:color w:val="000000"/>
        </w:rPr>
        <w:t xml:space="preserve">.  </w:t>
      </w:r>
      <w:r>
        <w:rPr>
          <w:i/>
          <w:iCs/>
          <w:color w:val="000000"/>
        </w:rPr>
        <w:t>See</w:t>
      </w:r>
      <w:r>
        <w:rPr>
          <w:color w:val="000000"/>
        </w:rPr>
        <w:t xml:space="preserve"> Consent Judgment</w:t>
      </w:r>
      <w:r w:rsidR="008B54D4">
        <w:rPr>
          <w:color w:val="000000"/>
        </w:rPr>
        <w:t>,</w:t>
      </w:r>
      <w:r>
        <w:rPr>
          <w:color w:val="000000"/>
        </w:rPr>
        <w:t xml:space="preserve"> </w:t>
      </w:r>
      <w:r>
        <w:rPr>
          <w:i/>
          <w:iCs/>
          <w:color w:val="000000"/>
        </w:rPr>
        <w:t>Oklahoma</w:t>
      </w:r>
      <w:r w:rsidR="00E150C1">
        <w:rPr>
          <w:i/>
          <w:iCs/>
          <w:color w:val="000000"/>
        </w:rPr>
        <w:t xml:space="preserve"> v. </w:t>
      </w:r>
      <w:r w:rsidR="006239B5">
        <w:rPr>
          <w:i/>
          <w:iCs/>
          <w:color w:val="000000"/>
        </w:rPr>
        <w:t>Oxy</w:t>
      </w:r>
      <w:r>
        <w:rPr>
          <w:i/>
          <w:iCs/>
          <w:color w:val="000000"/>
        </w:rPr>
        <w:t xml:space="preserve"> Pharma et al.</w:t>
      </w:r>
      <w:r w:rsidR="008B54D4">
        <w:rPr>
          <w:color w:val="000000"/>
        </w:rPr>
        <w:t>,</w:t>
      </w:r>
      <w:r>
        <w:rPr>
          <w:color w:val="000000"/>
        </w:rPr>
        <w:t xml:space="preserve"> </w:t>
      </w:r>
      <w:r w:rsidR="002E3DAF">
        <w:rPr>
          <w:color w:val="000000"/>
        </w:rPr>
        <w:t xml:space="preserve">No. </w:t>
      </w:r>
      <w:r>
        <w:rPr>
          <w:color w:val="000000"/>
        </w:rPr>
        <w:t>CJ-2017-816</w:t>
      </w:r>
      <w:r w:rsidR="008B54D4">
        <w:rPr>
          <w:color w:val="000000"/>
        </w:rPr>
        <w:t>,</w:t>
      </w:r>
      <w:r>
        <w:rPr>
          <w:color w:val="000000"/>
        </w:rPr>
        <w:t xml:space="preserve"> §§ 1.1</w:t>
      </w:r>
      <w:r w:rsidR="008B54D4">
        <w:rPr>
          <w:color w:val="000000"/>
        </w:rPr>
        <w:t>,</w:t>
      </w:r>
      <w:r>
        <w:rPr>
          <w:color w:val="000000"/>
        </w:rPr>
        <w:t xml:space="preserve"> 5.1</w:t>
      </w:r>
      <w:r w:rsidR="008B54D4">
        <w:rPr>
          <w:color w:val="000000"/>
        </w:rPr>
        <w:t>,</w:t>
      </w:r>
      <w:r>
        <w:rPr>
          <w:color w:val="000000"/>
        </w:rPr>
        <w:t xml:space="preserve"> 5.2 (Dist</w:t>
      </w:r>
      <w:r w:rsidR="006A227C">
        <w:rPr>
          <w:color w:val="000000"/>
        </w:rPr>
        <w:t xml:space="preserve">.  </w:t>
      </w:r>
      <w:r w:rsidR="004F2BA9">
        <w:rPr>
          <w:color w:val="000000"/>
        </w:rPr>
        <w:t xml:space="preserve">Ct. </w:t>
      </w:r>
      <w:r>
        <w:rPr>
          <w:color w:val="000000"/>
        </w:rPr>
        <w:t>Cleveland Cnty</w:t>
      </w:r>
      <w:r w:rsidR="006A227C">
        <w:rPr>
          <w:color w:val="000000"/>
        </w:rPr>
        <w:t xml:space="preserve">. </w:t>
      </w:r>
      <w:r>
        <w:rPr>
          <w:color w:val="000000"/>
        </w:rPr>
        <w:t>Mar</w:t>
      </w:r>
      <w:r w:rsidR="006A227C">
        <w:rPr>
          <w:color w:val="000000"/>
        </w:rPr>
        <w:t xml:space="preserve">.  </w:t>
      </w:r>
      <w:r>
        <w:rPr>
          <w:color w:val="000000"/>
        </w:rPr>
        <w:t>26</w:t>
      </w:r>
      <w:r w:rsidR="008B54D4">
        <w:rPr>
          <w:color w:val="000000"/>
        </w:rPr>
        <w:t>,</w:t>
      </w:r>
      <w:r>
        <w:rPr>
          <w:color w:val="000000"/>
        </w:rPr>
        <w:t xml:space="preserve"> 2019).</w:t>
      </w:r>
    </w:p>
    <w:p w14:paraId="44F8E037" w14:textId="0B078AC6" w:rsidR="00A77BBD" w:rsidRPr="00A06306" w:rsidRDefault="006239B5" w:rsidP="00A06306">
      <w:pPr>
        <w:pStyle w:val="Heading4"/>
        <w:rPr>
          <w:u w:val="single"/>
        </w:rPr>
      </w:pPr>
      <w:r>
        <w:rPr>
          <w:u w:val="single"/>
        </w:rPr>
        <w:t>Oxy</w:t>
      </w:r>
      <w:r w:rsidR="00A77BBD" w:rsidRPr="00A06306">
        <w:rPr>
          <w:u w:val="single"/>
        </w:rPr>
        <w:t xml:space="preserve"> Frederick Company</w:t>
      </w:r>
      <w:r w:rsidR="008B54D4" w:rsidRPr="00A06306">
        <w:rPr>
          <w:u w:val="single"/>
        </w:rPr>
        <w:t>,</w:t>
      </w:r>
      <w:r w:rsidR="00A77BBD" w:rsidRPr="00A06306">
        <w:rPr>
          <w:u w:val="single"/>
        </w:rPr>
        <w:t xml:space="preserve"> Inc.</w:t>
      </w:r>
      <w:r w:rsidR="008B54D4" w:rsidRPr="00A06306">
        <w:rPr>
          <w:u w:val="single"/>
        </w:rPr>
        <w:t>’</w:t>
      </w:r>
      <w:r w:rsidR="00A77BBD" w:rsidRPr="00A06306">
        <w:rPr>
          <w:u w:val="single"/>
        </w:rPr>
        <w:t>s 2007 Plea Agreement and Related Civil Settlements</w:t>
      </w:r>
    </w:p>
    <w:p w14:paraId="1ABE8815" w14:textId="18731295" w:rsidR="00A77BBD" w:rsidRDefault="00A77BBD" w:rsidP="00A77BBD">
      <w:pPr>
        <w:pStyle w:val="BodyTextFirstIndent"/>
      </w:pPr>
      <w:r>
        <w:rPr>
          <w:color w:val="000000"/>
        </w:rPr>
        <w:t>Also in 2007</w:t>
      </w:r>
      <w:r w:rsidR="008B54D4">
        <w:rPr>
          <w:color w:val="000000"/>
        </w:rPr>
        <w:t>,</w:t>
      </w:r>
      <w:r>
        <w:rPr>
          <w:color w:val="000000"/>
        </w:rPr>
        <w:t xml:space="preserve"> </w:t>
      </w:r>
      <w:r w:rsidR="006239B5">
        <w:rPr>
          <w:color w:val="000000"/>
        </w:rPr>
        <w:t>Oxy</w:t>
      </w:r>
      <w:r>
        <w:rPr>
          <w:color w:val="000000"/>
        </w:rPr>
        <w:t xml:space="preserve"> Frederick Company</w:t>
      </w:r>
      <w:r>
        <w:rPr>
          <w:rStyle w:val="FootnoteReference"/>
          <w:rFonts w:eastAsia="Times New Roman" w:cs="Times New Roman"/>
          <w:color w:val="000000"/>
          <w:vertAlign w:val="superscript"/>
        </w:rPr>
        <w:footnoteReference w:id="9"/>
      </w:r>
      <w:r>
        <w:rPr>
          <w:color w:val="000000"/>
        </w:rPr>
        <w:t xml:space="preserve"> pled guilty to one felony count of misbranding </w:t>
      </w:r>
      <w:r w:rsidR="00E82FD6">
        <w:rPr>
          <w:color w:val="000000"/>
        </w:rPr>
        <w:t>Oxy</w:t>
      </w:r>
      <w:r w:rsidR="00B747C6">
        <w:rPr>
          <w:color w:val="000000"/>
        </w:rPr>
        <w:t>con</w:t>
      </w:r>
      <w:r w:rsidR="008B54D4">
        <w:rPr>
          <w:color w:val="000000"/>
        </w:rPr>
        <w:t>,</w:t>
      </w:r>
      <w:r>
        <w:rPr>
          <w:color w:val="000000"/>
        </w:rPr>
        <w:t xml:space="preserve"> with the intent to defraud or mislead</w:t>
      </w:r>
      <w:r w:rsidR="008B54D4">
        <w:rPr>
          <w:color w:val="000000"/>
        </w:rPr>
        <w:t>,</w:t>
      </w:r>
      <w:r>
        <w:rPr>
          <w:color w:val="000000"/>
        </w:rPr>
        <w:t xml:space="preserve"> in violation of </w:t>
      </w:r>
      <w:hyperlink r:id="rId24" w:history="1">
        <w:r>
          <w:rPr>
            <w:color w:val="000000"/>
          </w:rPr>
          <w:t>21 U.S.C</w:t>
        </w:r>
        <w:r w:rsidR="006A227C">
          <w:rPr>
            <w:color w:val="000000"/>
          </w:rPr>
          <w:t xml:space="preserve">. </w:t>
        </w:r>
        <w:r>
          <w:rPr>
            <w:color w:val="000000"/>
          </w:rPr>
          <w:t>§§ 331(a)</w:t>
        </w:r>
      </w:hyperlink>
      <w:r w:rsidR="008B54D4">
        <w:rPr>
          <w:color w:val="000000"/>
        </w:rPr>
        <w:t>,</w:t>
      </w:r>
      <w:hyperlink r:id="rId25" w:history="1">
        <w:r>
          <w:rPr>
            <w:color w:val="000000"/>
          </w:rPr>
          <w:t xml:space="preserve"> 333(a)(2)</w:t>
        </w:r>
      </w:hyperlink>
      <w:r w:rsidR="006A227C">
        <w:rPr>
          <w:color w:val="000000"/>
        </w:rPr>
        <w:t xml:space="preserve">.  </w:t>
      </w:r>
      <w:r w:rsidR="006239B5">
        <w:rPr>
          <w:color w:val="000000"/>
        </w:rPr>
        <w:t>Oxy</w:t>
      </w:r>
      <w:r>
        <w:rPr>
          <w:color w:val="000000"/>
        </w:rPr>
        <w:t xml:space="preserve"> Frederick</w:t>
      </w:r>
      <w:r w:rsidR="008B54D4">
        <w:rPr>
          <w:color w:val="000000"/>
        </w:rPr>
        <w:t>’</w:t>
      </w:r>
      <w:r>
        <w:rPr>
          <w:color w:val="000000"/>
        </w:rPr>
        <w:t>s President and CEO Michael Friedman</w:t>
      </w:r>
      <w:r w:rsidR="008B54D4">
        <w:rPr>
          <w:color w:val="000000"/>
        </w:rPr>
        <w:t>,</w:t>
      </w:r>
      <w:r>
        <w:rPr>
          <w:color w:val="000000"/>
        </w:rPr>
        <w:t xml:space="preserve"> its Executive Vice President and Chief Legal Officer Howard</w:t>
      </w:r>
      <w:r w:rsidR="006E01F7">
        <w:rPr>
          <w:color w:val="000000"/>
        </w:rPr>
        <w:t xml:space="preserve"> R. </w:t>
      </w:r>
      <w:r>
        <w:rPr>
          <w:color w:val="000000"/>
        </w:rPr>
        <w:t>Udell</w:t>
      </w:r>
      <w:r w:rsidR="008B54D4">
        <w:rPr>
          <w:color w:val="000000"/>
        </w:rPr>
        <w:t>,</w:t>
      </w:r>
      <w:r>
        <w:rPr>
          <w:color w:val="000000"/>
        </w:rPr>
        <w:t xml:space="preserve"> and its Chief Scientific Officer Paul D</w:t>
      </w:r>
      <w:r w:rsidR="006A227C">
        <w:rPr>
          <w:color w:val="000000"/>
        </w:rPr>
        <w:t xml:space="preserve">. </w:t>
      </w:r>
      <w:r>
        <w:rPr>
          <w:color w:val="000000"/>
        </w:rPr>
        <w:t>Goldenheim</w:t>
      </w:r>
      <w:r w:rsidR="008B54D4">
        <w:rPr>
          <w:color w:val="000000"/>
        </w:rPr>
        <w:t>,</w:t>
      </w:r>
      <w:r>
        <w:rPr>
          <w:color w:val="000000"/>
        </w:rPr>
        <w:t xml:space="preserve"> in their capacity as corporate officers</w:t>
      </w:r>
      <w:r w:rsidR="008B54D4">
        <w:rPr>
          <w:color w:val="000000"/>
        </w:rPr>
        <w:t>,</w:t>
      </w:r>
      <w:r>
        <w:rPr>
          <w:color w:val="000000"/>
        </w:rPr>
        <w:t xml:space="preserve"> each pled guilty to a misdemeanor charge of misbranding</w:t>
      </w:r>
      <w:r w:rsidR="006A227C">
        <w:rPr>
          <w:color w:val="000000"/>
        </w:rPr>
        <w:t xml:space="preserve">.  </w:t>
      </w:r>
    </w:p>
    <w:p w14:paraId="1A7748E6" w14:textId="6C3ACA54" w:rsidR="00A77BBD" w:rsidRDefault="00A77BBD" w:rsidP="00A77BBD">
      <w:pPr>
        <w:pStyle w:val="BodyTextFirstIndent"/>
      </w:pPr>
      <w:r>
        <w:rPr>
          <w:color w:val="000000"/>
        </w:rPr>
        <w:t>As part of the Agreed Statement of Facts</w:t>
      </w:r>
      <w:r w:rsidR="008B54D4">
        <w:rPr>
          <w:color w:val="000000"/>
        </w:rPr>
        <w:t>,</w:t>
      </w:r>
      <w:r>
        <w:rPr>
          <w:color w:val="000000"/>
        </w:rPr>
        <w:t xml:space="preserve"> the </w:t>
      </w:r>
      <w:r w:rsidR="006239B5">
        <w:rPr>
          <w:color w:val="000000"/>
        </w:rPr>
        <w:t>Oxy</w:t>
      </w:r>
      <w:r>
        <w:rPr>
          <w:color w:val="000000"/>
        </w:rPr>
        <w:t xml:space="preserve"> Frederick Company admitted that:</w:t>
      </w:r>
    </w:p>
    <w:p w14:paraId="6D346D07" w14:textId="60C948B8" w:rsidR="00A77BBD" w:rsidRDefault="00A77BBD" w:rsidP="008E21E5">
      <w:pPr>
        <w:pStyle w:val="BlockText"/>
      </w:pPr>
      <w:r>
        <w:t xml:space="preserve">[b]eginning on </w:t>
      </w:r>
      <w:r w:rsidRPr="002924D9">
        <w:t>or</w:t>
      </w:r>
      <w:r>
        <w:t xml:space="preserve"> about December 12</w:t>
      </w:r>
      <w:r w:rsidR="008B54D4">
        <w:t>,</w:t>
      </w:r>
      <w:r>
        <w:t xml:space="preserve"> 1995</w:t>
      </w:r>
      <w:r w:rsidR="008B54D4">
        <w:t>,</w:t>
      </w:r>
      <w:r>
        <w:t xml:space="preserve"> and </w:t>
      </w:r>
      <w:r w:rsidR="003B7D4B">
        <w:t>Cantin</w:t>
      </w:r>
      <w:r>
        <w:t>uing until on or about June 30</w:t>
      </w:r>
      <w:r w:rsidR="008B54D4">
        <w:t>,</w:t>
      </w:r>
      <w:r>
        <w:t xml:space="preserve"> 2001</w:t>
      </w:r>
      <w:r w:rsidR="008B54D4">
        <w:t>,</w:t>
      </w:r>
      <w:r>
        <w:t xml:space="preserve"> certain </w:t>
      </w:r>
      <w:r w:rsidR="006239B5">
        <w:t>OXY</w:t>
      </w:r>
      <w:r>
        <w:t xml:space="preserve"> supervisors and employees</w:t>
      </w:r>
      <w:r w:rsidR="008B54D4">
        <w:t>,</w:t>
      </w:r>
      <w:r>
        <w:t xml:space="preserve"> with the intent to defraud or mislead</w:t>
      </w:r>
      <w:r w:rsidR="008B54D4">
        <w:t>,</w:t>
      </w:r>
      <w:r>
        <w:t xml:space="preserve"> marketed and promoted </w:t>
      </w:r>
      <w:r w:rsidR="00E82FD6">
        <w:t>Oxy</w:t>
      </w:r>
      <w:r w:rsidR="00B747C6">
        <w:t>con</w:t>
      </w:r>
      <w:r>
        <w:t xml:space="preserve"> as less addictive</w:t>
      </w:r>
      <w:r w:rsidR="008B54D4">
        <w:t>,</w:t>
      </w:r>
      <w:r>
        <w:t xml:space="preserve"> less subject to abuse and diversion</w:t>
      </w:r>
      <w:r w:rsidR="008B54D4">
        <w:t>,</w:t>
      </w:r>
      <w:r>
        <w:t xml:space="preserve"> and less likely to cause tolerance and withdrawal than other pain medications </w:t>
      </w:r>
      <w:r w:rsidR="006A227C">
        <w:t xml:space="preserve">. . </w:t>
      </w:r>
      <w:r>
        <w:t>.</w:t>
      </w:r>
    </w:p>
    <w:p w14:paraId="0F479EB5" w14:textId="5C4A29B8" w:rsidR="00A77BBD" w:rsidRDefault="00A77BBD" w:rsidP="002924D9">
      <w:pPr>
        <w:pStyle w:val="BodyTextFirstIndent"/>
        <w:ind w:firstLine="0"/>
      </w:pPr>
      <w:r>
        <w:rPr>
          <w:color w:val="000000"/>
        </w:rPr>
        <w:t>(Agreed Statement</w:t>
      </w:r>
      <w:r w:rsidR="008B54D4">
        <w:rPr>
          <w:color w:val="000000"/>
        </w:rPr>
        <w:t>,</w:t>
      </w:r>
      <w:r>
        <w:rPr>
          <w:color w:val="000000"/>
        </w:rPr>
        <w:t xml:space="preserve"> at </w:t>
      </w:r>
      <w:r w:rsidR="002924D9">
        <w:rPr>
          <w:color w:val="000000"/>
        </w:rPr>
        <w:t>¶¶</w:t>
      </w:r>
      <w:r>
        <w:rPr>
          <w:color w:val="000000"/>
        </w:rPr>
        <w:t>20</w:t>
      </w:r>
      <w:r w:rsidR="007E0307">
        <w:rPr>
          <w:color w:val="000000"/>
        </w:rPr>
        <w:t>)</w:t>
      </w:r>
    </w:p>
    <w:p w14:paraId="67614575" w14:textId="3D5DE377" w:rsidR="00CD0B39" w:rsidRDefault="00A77BBD" w:rsidP="00A77BBD">
      <w:pPr>
        <w:pStyle w:val="BodyTextFirstIndent"/>
        <w:rPr>
          <w:color w:val="000000"/>
        </w:rPr>
      </w:pPr>
      <w:r>
        <w:rPr>
          <w:color w:val="000000"/>
        </w:rPr>
        <w:t>As part of the 200</w:t>
      </w:r>
      <w:r w:rsidR="007E0307">
        <w:rPr>
          <w:color w:val="000000"/>
        </w:rPr>
        <w:t>8</w:t>
      </w:r>
      <w:r>
        <w:rPr>
          <w:color w:val="000000"/>
        </w:rPr>
        <w:t xml:space="preserve"> Plea Agreement</w:t>
      </w:r>
      <w:r w:rsidR="008B54D4">
        <w:rPr>
          <w:color w:val="000000"/>
        </w:rPr>
        <w:t>,</w:t>
      </w:r>
      <w:r>
        <w:rPr>
          <w:color w:val="000000"/>
        </w:rPr>
        <w:t xml:space="preserve"> </w:t>
      </w:r>
      <w:r w:rsidR="006239B5">
        <w:rPr>
          <w:color w:val="000000"/>
        </w:rPr>
        <w:t>Oxy</w:t>
      </w:r>
      <w:r>
        <w:rPr>
          <w:color w:val="000000"/>
        </w:rPr>
        <w:t xml:space="preserve"> Frederick agreed to pay over $600 million dollars in fines and various other payments.</w:t>
      </w:r>
      <w:r>
        <w:rPr>
          <w:rStyle w:val="FootnoteReference"/>
          <w:rFonts w:eastAsia="Times New Roman" w:cs="Times New Roman"/>
          <w:color w:val="000000"/>
          <w:vertAlign w:val="superscript"/>
        </w:rPr>
        <w:footnoteReference w:id="10"/>
      </w:r>
      <w:r>
        <w:rPr>
          <w:color w:val="000000"/>
        </w:rPr>
        <w:t xml:space="preserve"> </w:t>
      </w:r>
      <w:r w:rsidR="00BA3AB2">
        <w:rPr>
          <w:color w:val="000000"/>
        </w:rPr>
        <w:t xml:space="preserve">This </w:t>
      </w:r>
      <w:r>
        <w:rPr>
          <w:color w:val="000000"/>
        </w:rPr>
        <w:t xml:space="preserve">included $160 million to the United States and the states to settle various civil claims that had been asserted by governments - over $100 million to the United States and over $59 million to </w:t>
      </w:r>
      <w:r w:rsidR="00BA3AB2">
        <w:rPr>
          <w:color w:val="000000"/>
        </w:rPr>
        <w:t>e</w:t>
      </w:r>
      <w:r>
        <w:rPr>
          <w:color w:val="000000"/>
        </w:rPr>
        <w:t>ach state that elect</w:t>
      </w:r>
      <w:r w:rsidR="00BA3AB2">
        <w:rPr>
          <w:color w:val="000000"/>
        </w:rPr>
        <w:t>ed</w:t>
      </w:r>
      <w:r>
        <w:rPr>
          <w:color w:val="000000"/>
        </w:rPr>
        <w:t xml:space="preserve"> to participate in this settlement</w:t>
      </w:r>
      <w:r w:rsidR="00BA3AB2">
        <w:rPr>
          <w:color w:val="000000"/>
        </w:rPr>
        <w:t xml:space="preserve">. </w:t>
      </w:r>
      <w:r>
        <w:rPr>
          <w:color w:val="000000"/>
        </w:rPr>
        <w:t>In the federal government</w:t>
      </w:r>
      <w:r w:rsidR="008B54D4">
        <w:rPr>
          <w:color w:val="000000"/>
        </w:rPr>
        <w:t>’</w:t>
      </w:r>
      <w:r>
        <w:rPr>
          <w:color w:val="000000"/>
        </w:rPr>
        <w:t>s settlement agreement</w:t>
      </w:r>
      <w:r w:rsidR="008B54D4">
        <w:rPr>
          <w:color w:val="000000"/>
        </w:rPr>
        <w:t>,</w:t>
      </w:r>
      <w:r>
        <w:rPr>
          <w:color w:val="000000"/>
        </w:rPr>
        <w:t xml:space="preserve"> the United States and its various departments agreed to release “</w:t>
      </w:r>
      <w:r w:rsidR="006239B5">
        <w:rPr>
          <w:i/>
          <w:iCs/>
          <w:color w:val="000000"/>
        </w:rPr>
        <w:t>Oxy</w:t>
      </w:r>
      <w:r>
        <w:rPr>
          <w:i/>
          <w:iCs/>
          <w:color w:val="000000"/>
        </w:rPr>
        <w:t xml:space="preserve"> and its current and former directors</w:t>
      </w:r>
      <w:r w:rsidR="008B54D4">
        <w:rPr>
          <w:i/>
          <w:iCs/>
          <w:color w:val="000000"/>
        </w:rPr>
        <w:t>,</w:t>
      </w:r>
      <w:r>
        <w:rPr>
          <w:i/>
          <w:iCs/>
          <w:color w:val="000000"/>
        </w:rPr>
        <w:t xml:space="preserve"> officers</w:t>
      </w:r>
      <w:r w:rsidR="008B54D4">
        <w:rPr>
          <w:i/>
          <w:iCs/>
          <w:color w:val="000000"/>
        </w:rPr>
        <w:t>,</w:t>
      </w:r>
      <w:r>
        <w:rPr>
          <w:i/>
          <w:iCs/>
          <w:color w:val="000000"/>
        </w:rPr>
        <w:t xml:space="preserve"> employees</w:t>
      </w:r>
      <w:r w:rsidR="008B54D4">
        <w:rPr>
          <w:i/>
          <w:iCs/>
          <w:color w:val="000000"/>
        </w:rPr>
        <w:t>,</w:t>
      </w:r>
      <w:r>
        <w:rPr>
          <w:i/>
          <w:iCs/>
          <w:color w:val="000000"/>
        </w:rPr>
        <w:t xml:space="preserve"> affiliates</w:t>
      </w:r>
      <w:r w:rsidR="008B54D4">
        <w:rPr>
          <w:i/>
          <w:iCs/>
          <w:color w:val="000000"/>
        </w:rPr>
        <w:t>,</w:t>
      </w:r>
      <w:r>
        <w:rPr>
          <w:i/>
          <w:iCs/>
          <w:color w:val="000000"/>
        </w:rPr>
        <w:t xml:space="preserve"> owners</w:t>
      </w:r>
      <w:r w:rsidR="008B54D4">
        <w:rPr>
          <w:i/>
          <w:iCs/>
          <w:color w:val="000000"/>
        </w:rPr>
        <w:t>,</w:t>
      </w:r>
      <w:r>
        <w:rPr>
          <w:i/>
          <w:iCs/>
          <w:color w:val="000000"/>
        </w:rPr>
        <w:t xml:space="preserve"> </w:t>
      </w:r>
      <w:r>
        <w:rPr>
          <w:color w:val="000000"/>
        </w:rPr>
        <w:t>predecessors</w:t>
      </w:r>
      <w:r w:rsidR="008B54D4">
        <w:rPr>
          <w:color w:val="000000"/>
        </w:rPr>
        <w:t>,</w:t>
      </w:r>
      <w:r>
        <w:rPr>
          <w:color w:val="000000"/>
        </w:rPr>
        <w:t xml:space="preserve"> successors and assigns from any civil or administrative monetary claim the United States has or may have” under federal statutes creating causes of action for civil damages or penalties</w:t>
      </w:r>
      <w:r w:rsidR="008B54D4">
        <w:rPr>
          <w:color w:val="000000"/>
        </w:rPr>
        <w:t>,</w:t>
      </w:r>
      <w:r>
        <w:rPr>
          <w:color w:val="000000"/>
        </w:rPr>
        <w:t xml:space="preserve"> as well as from administrative actions under various federal departments and programs</w:t>
      </w:r>
      <w:r w:rsidR="00BA3AB2">
        <w:rPr>
          <w:color w:val="000000"/>
        </w:rPr>
        <w:t xml:space="preserve">. </w:t>
      </w:r>
      <w:r>
        <w:rPr>
          <w:color w:val="000000"/>
        </w:rPr>
        <w:t>The participating states</w:t>
      </w:r>
      <w:r w:rsidR="008B54D4">
        <w:rPr>
          <w:color w:val="000000"/>
        </w:rPr>
        <w:t>’</w:t>
      </w:r>
      <w:r>
        <w:rPr>
          <w:color w:val="000000"/>
        </w:rPr>
        <w:t xml:space="preserve"> settlement agreement and release were limited to Medicaid fraud claims:</w:t>
      </w:r>
    </w:p>
    <w:p w14:paraId="211CB0FD" w14:textId="6FE961FE" w:rsidR="00A77BBD" w:rsidRDefault="00A77BBD" w:rsidP="008E21E5">
      <w:pPr>
        <w:pStyle w:val="BlockText"/>
      </w:pPr>
      <w:r>
        <w:t xml:space="preserve">release and forever discharge [the] Company </w:t>
      </w:r>
      <w:r>
        <w:rPr>
          <w:i/>
          <w:iCs/>
        </w:rPr>
        <w:t>and its current and former directors</w:t>
      </w:r>
      <w:r w:rsidR="008B54D4">
        <w:rPr>
          <w:i/>
          <w:iCs/>
        </w:rPr>
        <w:t>,</w:t>
      </w:r>
      <w:r>
        <w:rPr>
          <w:i/>
          <w:iCs/>
        </w:rPr>
        <w:t xml:space="preserve"> officers</w:t>
      </w:r>
      <w:r w:rsidR="008B54D4">
        <w:rPr>
          <w:i/>
          <w:iCs/>
        </w:rPr>
        <w:t>,</w:t>
      </w:r>
      <w:r>
        <w:rPr>
          <w:i/>
          <w:iCs/>
        </w:rPr>
        <w:t xml:space="preserve"> employees</w:t>
      </w:r>
      <w:r w:rsidR="008B54D4">
        <w:rPr>
          <w:i/>
          <w:iCs/>
        </w:rPr>
        <w:t>,</w:t>
      </w:r>
      <w:r>
        <w:rPr>
          <w:i/>
          <w:iCs/>
        </w:rPr>
        <w:t xml:space="preserve"> affiliates</w:t>
      </w:r>
      <w:r w:rsidR="008B54D4">
        <w:rPr>
          <w:i/>
          <w:iCs/>
        </w:rPr>
        <w:t>,</w:t>
      </w:r>
      <w:r>
        <w:rPr>
          <w:i/>
          <w:iCs/>
        </w:rPr>
        <w:t xml:space="preserve"> owners</w:t>
      </w:r>
      <w:r w:rsidR="008B54D4">
        <w:rPr>
          <w:i/>
          <w:iCs/>
        </w:rPr>
        <w:t>,</w:t>
      </w:r>
      <w:r>
        <w:t xml:space="preserve"> predecessors</w:t>
      </w:r>
      <w:r w:rsidR="008B54D4">
        <w:t>,</w:t>
      </w:r>
      <w:r>
        <w:t xml:space="preserve"> successors and assigns from any civil or administrative monetary claim that the State has or may have for any claim submitted or caused to be submitted to the State Medicaid Program for the Covered Conduct </w:t>
      </w:r>
      <w:r w:rsidR="006A227C">
        <w:t xml:space="preserve">. . </w:t>
      </w:r>
      <w:r>
        <w:t>.</w:t>
      </w:r>
    </w:p>
    <w:p w14:paraId="011FB427" w14:textId="770179F3" w:rsidR="00A77BBD" w:rsidRDefault="00A77BBD" w:rsidP="00CD0B39">
      <w:pPr>
        <w:pStyle w:val="BodyTextFirstIndent"/>
        <w:ind w:firstLine="0"/>
      </w:pPr>
      <w:r>
        <w:rPr>
          <w:i/>
          <w:iCs/>
          <w:color w:val="000000"/>
        </w:rPr>
        <w:t xml:space="preserve">See The </w:t>
      </w:r>
      <w:r w:rsidR="006239B5">
        <w:rPr>
          <w:i/>
          <w:iCs/>
          <w:color w:val="000000"/>
        </w:rPr>
        <w:t>Oxy</w:t>
      </w:r>
      <w:r>
        <w:rPr>
          <w:i/>
          <w:iCs/>
          <w:color w:val="000000"/>
        </w:rPr>
        <w:t xml:space="preserve"> Frederick Company</w:t>
      </w:r>
      <w:r w:rsidR="008B54D4">
        <w:rPr>
          <w:i/>
          <w:iCs/>
          <w:color w:val="000000"/>
        </w:rPr>
        <w:t>,</w:t>
      </w:r>
      <w:r>
        <w:rPr>
          <w:i/>
          <w:iCs/>
          <w:color w:val="000000"/>
        </w:rPr>
        <w:t xml:space="preserve"> Inc.</w:t>
      </w:r>
      <w:r w:rsidR="008B54D4">
        <w:rPr>
          <w:i/>
          <w:iCs/>
          <w:color w:val="000000"/>
        </w:rPr>
        <w:t>,</w:t>
      </w:r>
      <w:r>
        <w:rPr>
          <w:i/>
          <w:iCs/>
          <w:color w:val="000000"/>
        </w:rPr>
        <w:t xml:space="preserve"> et al.</w:t>
      </w:r>
      <w:r w:rsidR="008B54D4">
        <w:rPr>
          <w:color w:val="000000"/>
        </w:rPr>
        <w:t>,</w:t>
      </w:r>
      <w:r>
        <w:rPr>
          <w:color w:val="000000"/>
        </w:rPr>
        <w:t xml:space="preserve"> No</w:t>
      </w:r>
      <w:r w:rsidR="006A227C">
        <w:rPr>
          <w:color w:val="000000"/>
        </w:rPr>
        <w:t xml:space="preserve">. </w:t>
      </w:r>
      <w:r>
        <w:rPr>
          <w:color w:val="000000"/>
        </w:rPr>
        <w:t>1:07-cr-00029</w:t>
      </w:r>
      <w:r w:rsidR="008B54D4">
        <w:rPr>
          <w:color w:val="000000"/>
        </w:rPr>
        <w:t>,</w:t>
      </w:r>
      <w:r>
        <w:rPr>
          <w:color w:val="000000"/>
        </w:rPr>
        <w:t xml:space="preserve"> </w:t>
      </w:r>
      <w:hyperlink r:id="rId26" w:history="1">
        <w:r w:rsidR="002F4854">
          <w:rPr>
            <w:color w:val="000000"/>
          </w:rPr>
          <w:t xml:space="preserve">Dkt. </w:t>
        </w:r>
        <w:r>
          <w:rPr>
            <w:color w:val="000000"/>
          </w:rPr>
          <w:t>No</w:t>
        </w:r>
        <w:r w:rsidR="006A227C">
          <w:rPr>
            <w:color w:val="000000"/>
          </w:rPr>
          <w:t xml:space="preserve">. </w:t>
        </w:r>
        <w:r>
          <w:rPr>
            <w:color w:val="000000"/>
          </w:rPr>
          <w:t>5-14</w:t>
        </w:r>
        <w:r w:rsidR="008B54D4">
          <w:rPr>
            <w:color w:val="000000"/>
          </w:rPr>
          <w:t>,</w:t>
        </w:r>
        <w:r>
          <w:rPr>
            <w:color w:val="000000"/>
          </w:rPr>
          <w:t xml:space="preserve"> at</w:t>
        </w:r>
      </w:hyperlink>
      <w:r>
        <w:rPr>
          <w:color w:val="000000"/>
        </w:rPr>
        <w:t xml:space="preserve"> §III(2))</w:t>
      </w:r>
      <w:r w:rsidR="00CD0B39">
        <w:rPr>
          <w:color w:val="000000"/>
        </w:rPr>
        <w:t xml:space="preserve"> </w:t>
      </w:r>
      <w:r>
        <w:rPr>
          <w:color w:val="000000"/>
        </w:rPr>
        <w:t>(emphasis added).</w:t>
      </w:r>
    </w:p>
    <w:p w14:paraId="384EF0FE" w14:textId="6B166113" w:rsidR="00A77BBD" w:rsidRDefault="00A77BBD" w:rsidP="00A77BBD">
      <w:pPr>
        <w:pStyle w:val="BodyTextFirstIndent"/>
      </w:pPr>
      <w:r>
        <w:rPr>
          <w:color w:val="000000"/>
        </w:rPr>
        <w:t>All states except Kentucky opted into the federal settlement</w:t>
      </w:r>
      <w:r w:rsidR="006A227C">
        <w:rPr>
          <w:color w:val="000000"/>
        </w:rPr>
        <w:t xml:space="preserve">.  </w:t>
      </w:r>
    </w:p>
    <w:p w14:paraId="47801C49" w14:textId="222282D5" w:rsidR="00A77BBD" w:rsidRDefault="00A77BBD" w:rsidP="00A77BBD">
      <w:pPr>
        <w:pStyle w:val="BodyTextFirstIndent"/>
      </w:pPr>
      <w:r>
        <w:rPr>
          <w:color w:val="000000"/>
        </w:rPr>
        <w:t xml:space="preserve">An additional $130 million was set aside to settle private civil liability claims related to </w:t>
      </w:r>
      <w:r w:rsidR="00E82FD6">
        <w:rPr>
          <w:color w:val="000000"/>
        </w:rPr>
        <w:t>Oxy</w:t>
      </w:r>
      <w:r w:rsidR="006B7515">
        <w:rPr>
          <w:color w:val="000000"/>
        </w:rPr>
        <w:t>con</w:t>
      </w:r>
      <w:r w:rsidR="00BA3AB2">
        <w:rPr>
          <w:color w:val="000000"/>
        </w:rPr>
        <w:t xml:space="preserve"> and Oxy</w:t>
      </w:r>
      <w:r w:rsidR="007E0307">
        <w:rPr>
          <w:color w:val="000000"/>
        </w:rPr>
        <w:t>. A representative</w:t>
      </w:r>
      <w:r>
        <w:rPr>
          <w:color w:val="000000"/>
        </w:rPr>
        <w:t xml:space="preserve"> of the AHC testified in the Confirmation Hearing that her approximately 5</w:t>
      </w:r>
      <w:r w:rsidR="008B54D4">
        <w:rPr>
          <w:color w:val="000000"/>
        </w:rPr>
        <w:t>,</w:t>
      </w:r>
      <w:r>
        <w:rPr>
          <w:color w:val="000000"/>
        </w:rPr>
        <w:t>000 clients received a total of $75 million out of this settlement fund</w:t>
      </w:r>
      <w:r w:rsidR="006A227C">
        <w:rPr>
          <w:color w:val="000000"/>
        </w:rPr>
        <w:t xml:space="preserve">.  </w:t>
      </w:r>
    </w:p>
    <w:p w14:paraId="190541B0" w14:textId="0B18C17C" w:rsidR="00A77BBD" w:rsidRDefault="00A77BBD" w:rsidP="00A77BBD">
      <w:pPr>
        <w:pStyle w:val="BodyTextFirstIndent"/>
      </w:pPr>
      <w:r>
        <w:rPr>
          <w:color w:val="000000"/>
        </w:rPr>
        <w:t>As part of the resolution of the criminal case</w:t>
      </w:r>
      <w:r w:rsidR="008B54D4">
        <w:rPr>
          <w:color w:val="000000"/>
        </w:rPr>
        <w:t>,</w:t>
      </w:r>
      <w:r>
        <w:rPr>
          <w:color w:val="000000"/>
        </w:rPr>
        <w:t xml:space="preserve"> </w:t>
      </w:r>
      <w:r w:rsidR="006239B5">
        <w:rPr>
          <w:color w:val="000000"/>
        </w:rPr>
        <w:t>Oxy</w:t>
      </w:r>
      <w:r>
        <w:rPr>
          <w:color w:val="000000"/>
        </w:rPr>
        <w:t xml:space="preserve"> agreed to a five-year corporate integrity program with the DHHS</w:t>
      </w:r>
      <w:r w:rsidR="008B54D4">
        <w:rPr>
          <w:color w:val="000000"/>
        </w:rPr>
        <w:t>,</w:t>
      </w:r>
      <w:r>
        <w:rPr>
          <w:color w:val="000000"/>
        </w:rPr>
        <w:t xml:space="preserve"> pursuant to which DHHS was to monitor </w:t>
      </w:r>
      <w:r w:rsidR="006239B5">
        <w:rPr>
          <w:color w:val="000000"/>
        </w:rPr>
        <w:t>Oxy</w:t>
      </w:r>
      <w:r w:rsidR="008B54D4">
        <w:rPr>
          <w:color w:val="000000"/>
        </w:rPr>
        <w:t>’</w:t>
      </w:r>
      <w:r>
        <w:rPr>
          <w:color w:val="000000"/>
        </w:rPr>
        <w:t>s compliance with federal healthcare law</w:t>
      </w:r>
      <w:r w:rsidR="006A227C">
        <w:rPr>
          <w:color w:val="000000"/>
        </w:rPr>
        <w:t xml:space="preserve">.  </w:t>
      </w:r>
      <w:r>
        <w:rPr>
          <w:color w:val="000000"/>
        </w:rPr>
        <w:t>This monitoring period expired on July 30</w:t>
      </w:r>
      <w:r w:rsidR="008B54D4">
        <w:rPr>
          <w:color w:val="000000"/>
        </w:rPr>
        <w:t>,</w:t>
      </w:r>
      <w:r>
        <w:rPr>
          <w:color w:val="000000"/>
        </w:rPr>
        <w:t xml:space="preserve"> 2012</w:t>
      </w:r>
      <w:r w:rsidR="007E0307">
        <w:rPr>
          <w:color w:val="000000"/>
        </w:rPr>
        <w:t xml:space="preserve">. </w:t>
      </w:r>
      <w:r>
        <w:rPr>
          <w:color w:val="000000"/>
        </w:rPr>
        <w:t>In 2013</w:t>
      </w:r>
      <w:r w:rsidR="008B54D4">
        <w:rPr>
          <w:color w:val="000000"/>
        </w:rPr>
        <w:t>,</w:t>
      </w:r>
      <w:r w:rsidR="005E372F">
        <w:rPr>
          <w:color w:val="000000"/>
        </w:rPr>
        <w:t xml:space="preserve"> </w:t>
      </w:r>
      <w:r w:rsidR="006239B5">
        <w:rPr>
          <w:color w:val="000000"/>
        </w:rPr>
        <w:t>Oxy</w:t>
      </w:r>
      <w:r>
        <w:rPr>
          <w:color w:val="000000"/>
        </w:rPr>
        <w:t xml:space="preserve"> completed the corporate integrity program with no significant adverse findings</w:t>
      </w:r>
      <w:r w:rsidR="006A227C">
        <w:rPr>
          <w:color w:val="000000"/>
        </w:rPr>
        <w:t xml:space="preserve">.  </w:t>
      </w:r>
    </w:p>
    <w:p w14:paraId="79B5C551" w14:textId="4FC36945" w:rsidR="00A77BBD" w:rsidRDefault="00A77BBD" w:rsidP="00A77BBD">
      <w:pPr>
        <w:pStyle w:val="BodyTextFirstIndent"/>
      </w:pPr>
      <w:r>
        <w:rPr>
          <w:color w:val="000000"/>
        </w:rPr>
        <w:t>The Honorable James P</w:t>
      </w:r>
      <w:r w:rsidR="006A227C">
        <w:rPr>
          <w:color w:val="000000"/>
        </w:rPr>
        <w:t xml:space="preserve">. </w:t>
      </w:r>
      <w:r>
        <w:rPr>
          <w:color w:val="000000"/>
        </w:rPr>
        <w:t>Jones approved the 2007 Plea Agreement in July of that year</w:t>
      </w:r>
      <w:r w:rsidR="006A227C">
        <w:rPr>
          <w:color w:val="000000"/>
        </w:rPr>
        <w:t xml:space="preserve">.  </w:t>
      </w:r>
    </w:p>
    <w:p w14:paraId="4D5FA019" w14:textId="2ACE944E" w:rsidR="00A77BBD" w:rsidRDefault="00A77BBD" w:rsidP="005E372F">
      <w:pPr>
        <w:pStyle w:val="Heading3"/>
      </w:pPr>
      <w:r>
        <w:t>The Second Round of Lawsuits:  2014-2019</w:t>
      </w:r>
    </w:p>
    <w:p w14:paraId="688DB9AB" w14:textId="0A114F24" w:rsidR="00A77BBD" w:rsidRDefault="00A77BBD" w:rsidP="00A77BBD">
      <w:pPr>
        <w:pStyle w:val="BodyTextFirstIndent"/>
      </w:pPr>
      <w:r>
        <w:rPr>
          <w:color w:val="000000"/>
        </w:rPr>
        <w:t>The 200</w:t>
      </w:r>
      <w:r w:rsidR="007E0307">
        <w:rPr>
          <w:color w:val="000000"/>
        </w:rPr>
        <w:t>8</w:t>
      </w:r>
      <w:r>
        <w:rPr>
          <w:color w:val="000000"/>
        </w:rPr>
        <w:t xml:space="preserve"> Settlement and Plea Agreement were intended to resolve for all time issues relating to </w:t>
      </w:r>
      <w:r w:rsidR="006239B5">
        <w:rPr>
          <w:color w:val="000000"/>
        </w:rPr>
        <w:t>Oxy</w:t>
      </w:r>
      <w:r w:rsidR="008B54D4">
        <w:rPr>
          <w:color w:val="000000"/>
        </w:rPr>
        <w:t>’</w:t>
      </w:r>
      <w:r>
        <w:rPr>
          <w:color w:val="000000"/>
        </w:rPr>
        <w:t xml:space="preserve">s misrepresentations about </w:t>
      </w:r>
      <w:r w:rsidR="00E82FD6">
        <w:rPr>
          <w:color w:val="000000"/>
        </w:rPr>
        <w:t>Oxy</w:t>
      </w:r>
      <w:r w:rsidR="006B7515">
        <w:rPr>
          <w:color w:val="000000"/>
        </w:rPr>
        <w:t>con</w:t>
      </w:r>
      <w:r w:rsidR="006A227C">
        <w:rPr>
          <w:color w:val="000000"/>
        </w:rPr>
        <w:t xml:space="preserve">. </w:t>
      </w:r>
      <w:r>
        <w:rPr>
          <w:color w:val="000000"/>
        </w:rPr>
        <w:t xml:space="preserve">The corporate integrity agreement with DHHS meant ongoing monitoring and the ADD program agreed to with the 26 states and </w:t>
      </w:r>
      <w:r w:rsidR="00013BBA">
        <w:rPr>
          <w:color w:val="000000"/>
        </w:rPr>
        <w:t xml:space="preserve">D.C. </w:t>
      </w:r>
      <w:r>
        <w:rPr>
          <w:color w:val="000000"/>
        </w:rPr>
        <w:t xml:space="preserve">was meant to create internal procedures that would identify and interrupt abuse or diversion related to </w:t>
      </w:r>
      <w:r w:rsidR="00E82FD6">
        <w:rPr>
          <w:color w:val="000000"/>
        </w:rPr>
        <w:t>Oxy</w:t>
      </w:r>
      <w:r w:rsidR="006B7515">
        <w:rPr>
          <w:color w:val="000000"/>
        </w:rPr>
        <w:t>con</w:t>
      </w:r>
      <w:r w:rsidR="006A227C">
        <w:rPr>
          <w:color w:val="000000"/>
        </w:rPr>
        <w:t xml:space="preserve">.  </w:t>
      </w:r>
      <w:r w:rsidR="006239B5">
        <w:rPr>
          <w:color w:val="000000"/>
        </w:rPr>
        <w:t>Oxy</w:t>
      </w:r>
      <w:r w:rsidR="008B54D4">
        <w:rPr>
          <w:color w:val="000000"/>
        </w:rPr>
        <w:t>,</w:t>
      </w:r>
      <w:r>
        <w:rPr>
          <w:color w:val="000000"/>
        </w:rPr>
        <w:t xml:space="preserve"> for its part</w:t>
      </w:r>
      <w:r w:rsidR="008B54D4">
        <w:rPr>
          <w:color w:val="000000"/>
        </w:rPr>
        <w:t>,</w:t>
      </w:r>
      <w:r>
        <w:rPr>
          <w:color w:val="000000"/>
        </w:rPr>
        <w:t xml:space="preserve"> insisted in its Informational Brief before the Bankruptcy Court that it “accepted responsibility for the misconduct in 2007 and has since then strived never to repeat it.”</w:t>
      </w:r>
      <w:r w:rsidR="000004B0">
        <w:rPr>
          <w:color w:val="000000"/>
        </w:rPr>
        <w:t xml:space="preserve"> </w:t>
      </w:r>
      <w:r>
        <w:rPr>
          <w:color w:val="000000"/>
        </w:rPr>
        <w:t xml:space="preserve"> </w:t>
      </w:r>
    </w:p>
    <w:p w14:paraId="71751D13" w14:textId="07D23F5F" w:rsidR="00A77BBD" w:rsidRDefault="00A77BBD" w:rsidP="00A77BBD">
      <w:pPr>
        <w:pStyle w:val="BodyTextFirstIndent"/>
      </w:pPr>
      <w:r>
        <w:rPr>
          <w:color w:val="000000"/>
        </w:rPr>
        <w:t>However</w:t>
      </w:r>
      <w:r w:rsidR="008B54D4">
        <w:rPr>
          <w:color w:val="000000"/>
        </w:rPr>
        <w:t>,</w:t>
      </w:r>
      <w:r>
        <w:rPr>
          <w:color w:val="000000"/>
        </w:rPr>
        <w:t xml:space="preserve"> if </w:t>
      </w:r>
      <w:r w:rsidR="006239B5">
        <w:rPr>
          <w:color w:val="000000"/>
        </w:rPr>
        <w:t>Oxy</w:t>
      </w:r>
      <w:r w:rsidR="008B54D4">
        <w:rPr>
          <w:color w:val="000000"/>
        </w:rPr>
        <w:t>’</w:t>
      </w:r>
      <w:r>
        <w:rPr>
          <w:color w:val="000000"/>
        </w:rPr>
        <w:t>s admissions in its 2020 Plea Agreement are believed</w:t>
      </w:r>
      <w:r w:rsidR="008B54D4">
        <w:rPr>
          <w:color w:val="000000"/>
        </w:rPr>
        <w:t>,</w:t>
      </w:r>
      <w:r>
        <w:rPr>
          <w:color w:val="000000"/>
        </w:rPr>
        <w:t xml:space="preserve"> this purported acceptance of responsibility was a charade</w:t>
      </w:r>
      <w:r w:rsidR="008B54D4">
        <w:rPr>
          <w:color w:val="000000"/>
        </w:rPr>
        <w:t>,</w:t>
      </w:r>
      <w:r>
        <w:rPr>
          <w:color w:val="000000"/>
        </w:rPr>
        <w:t xml:space="preserve"> and the oversight mechanisms built into the settlements were a conspicuous failure</w:t>
      </w:r>
      <w:r w:rsidR="006A227C">
        <w:rPr>
          <w:color w:val="000000"/>
        </w:rPr>
        <w:t xml:space="preserve">.  </w:t>
      </w:r>
      <w:r>
        <w:rPr>
          <w:color w:val="000000"/>
        </w:rPr>
        <w:t xml:space="preserve">Judge </w:t>
      </w:r>
      <w:r w:rsidR="00E82FD6">
        <w:rPr>
          <w:color w:val="000000"/>
        </w:rPr>
        <w:t>Wains</w:t>
      </w:r>
      <w:r>
        <w:rPr>
          <w:color w:val="000000"/>
        </w:rPr>
        <w:t xml:space="preserve"> found that the </w:t>
      </w:r>
      <w:r w:rsidR="00E82FD6">
        <w:rPr>
          <w:color w:val="000000"/>
        </w:rPr>
        <w:t>Packler</w:t>
      </w:r>
      <w:r>
        <w:rPr>
          <w:color w:val="000000"/>
        </w:rPr>
        <w:t xml:space="preserve">s had an “evident desire to </w:t>
      </w:r>
      <w:r w:rsidR="00BA3AB2">
        <w:rPr>
          <w:color w:val="000000"/>
        </w:rPr>
        <w:t>c</w:t>
      </w:r>
      <w:r w:rsidR="007E0307">
        <w:rPr>
          <w:color w:val="000000"/>
        </w:rPr>
        <w:t>o</w:t>
      </w:r>
      <w:r w:rsidR="003B7D4B">
        <w:rPr>
          <w:color w:val="000000"/>
        </w:rPr>
        <w:t>ntin</w:t>
      </w:r>
      <w:r>
        <w:rPr>
          <w:color w:val="000000"/>
        </w:rPr>
        <w:t>ue to drive profits from the products</w:t>
      </w:r>
      <w:r w:rsidR="008B54D4">
        <w:rPr>
          <w:color w:val="000000"/>
        </w:rPr>
        <w:t>’</w:t>
      </w:r>
      <w:r>
        <w:rPr>
          <w:color w:val="000000"/>
        </w:rPr>
        <w:t xml:space="preserve"> sale</w:t>
      </w:r>
      <w:r w:rsidR="008B54D4">
        <w:rPr>
          <w:color w:val="000000"/>
        </w:rPr>
        <w:t>,</w:t>
      </w:r>
      <w:r>
        <w:rPr>
          <w:color w:val="000000"/>
        </w:rPr>
        <w:t>” and as they did so</w:t>
      </w:r>
      <w:r w:rsidR="008B54D4">
        <w:rPr>
          <w:color w:val="000000"/>
        </w:rPr>
        <w:t>,</w:t>
      </w:r>
      <w:r>
        <w:rPr>
          <w:color w:val="000000"/>
        </w:rPr>
        <w:t xml:space="preserve"> the opioid crisis not only </w:t>
      </w:r>
      <w:r w:rsidR="00BA3AB2">
        <w:rPr>
          <w:color w:val="000000"/>
        </w:rPr>
        <w:t>c</w:t>
      </w:r>
      <w:r w:rsidR="007E0307">
        <w:rPr>
          <w:color w:val="000000"/>
        </w:rPr>
        <w:t>o</w:t>
      </w:r>
      <w:r w:rsidR="003B7D4B">
        <w:rPr>
          <w:color w:val="000000"/>
        </w:rPr>
        <w:t>ntin</w:t>
      </w:r>
      <w:r>
        <w:rPr>
          <w:color w:val="000000"/>
        </w:rPr>
        <w:t>ued</w:t>
      </w:r>
      <w:r w:rsidR="008B54D4">
        <w:rPr>
          <w:color w:val="000000"/>
        </w:rPr>
        <w:t>,</w:t>
      </w:r>
      <w:r>
        <w:rPr>
          <w:color w:val="000000"/>
        </w:rPr>
        <w:t xml:space="preserve"> it worsened</w:t>
      </w:r>
      <w:r w:rsidR="006A227C">
        <w:rPr>
          <w:color w:val="000000"/>
        </w:rPr>
        <w:t xml:space="preserve">.  </w:t>
      </w:r>
      <w:r>
        <w:rPr>
          <w:color w:val="000000"/>
        </w:rPr>
        <w:t xml:space="preserve">As </w:t>
      </w:r>
      <w:r w:rsidR="006E3B83">
        <w:rPr>
          <w:color w:val="000000"/>
        </w:rPr>
        <w:t>Fred</w:t>
      </w:r>
      <w:r>
        <w:rPr>
          <w:color w:val="000000"/>
        </w:rPr>
        <w:t xml:space="preserve"> D.A</w:t>
      </w:r>
      <w:r w:rsidR="006A227C">
        <w:rPr>
          <w:color w:val="000000"/>
        </w:rPr>
        <w:t xml:space="preserve">.  </w:t>
      </w:r>
      <w:r w:rsidR="00E82FD6">
        <w:rPr>
          <w:color w:val="000000"/>
        </w:rPr>
        <w:t>Packler</w:t>
      </w:r>
      <w:r>
        <w:rPr>
          <w:color w:val="000000"/>
        </w:rPr>
        <w:t xml:space="preserve"> testified in the Confirmation Hearing</w:t>
      </w:r>
      <w:r w:rsidR="008B54D4">
        <w:rPr>
          <w:color w:val="000000"/>
        </w:rPr>
        <w:t>,</w:t>
      </w:r>
      <w:r w:rsidR="00B32325">
        <w:rPr>
          <w:color w:val="000000"/>
        </w:rPr>
        <w:t xml:space="preserve"> </w:t>
      </w:r>
      <w:r>
        <w:rPr>
          <w:color w:val="000000"/>
        </w:rPr>
        <w:t xml:space="preserve">“overdose deaths </w:t>
      </w:r>
      <w:r w:rsidR="00110F91">
        <w:rPr>
          <w:color w:val="000000"/>
        </w:rPr>
        <w:t xml:space="preserve">. . . </w:t>
      </w:r>
      <w:r w:rsidR="00BA3AB2">
        <w:rPr>
          <w:color w:val="000000"/>
        </w:rPr>
        <w:t>c</w:t>
      </w:r>
      <w:r w:rsidR="007E0307">
        <w:rPr>
          <w:color w:val="000000"/>
        </w:rPr>
        <w:t>o</w:t>
      </w:r>
      <w:r w:rsidR="003B7D4B">
        <w:rPr>
          <w:color w:val="000000"/>
        </w:rPr>
        <w:t>ntin</w:t>
      </w:r>
      <w:r>
        <w:rPr>
          <w:color w:val="000000"/>
        </w:rPr>
        <w:t xml:space="preserve">ued to rise </w:t>
      </w:r>
      <w:r w:rsidR="00110F91">
        <w:rPr>
          <w:color w:val="000000"/>
        </w:rPr>
        <w:t xml:space="preserve">. . . </w:t>
      </w:r>
      <w:r>
        <w:rPr>
          <w:color w:val="000000"/>
        </w:rPr>
        <w:t>The overdose deaths kept going up and up.”</w:t>
      </w:r>
      <w:r w:rsidR="0005772E">
        <w:rPr>
          <w:color w:val="000000"/>
        </w:rPr>
        <w:t xml:space="preserve"> </w:t>
      </w:r>
      <w:r>
        <w:rPr>
          <w:color w:val="000000"/>
        </w:rPr>
        <w:t xml:space="preserve"> </w:t>
      </w:r>
    </w:p>
    <w:p w14:paraId="34E95A3D" w14:textId="36A605A3" w:rsidR="00A77BBD" w:rsidRDefault="00A77BBD" w:rsidP="00A77BBD">
      <w:pPr>
        <w:pStyle w:val="BodyTextFirstIndent"/>
      </w:pPr>
      <w:r>
        <w:rPr>
          <w:color w:val="000000"/>
        </w:rPr>
        <w:t>Starting in about 2014</w:t>
      </w:r>
      <w:r w:rsidR="008B54D4">
        <w:rPr>
          <w:color w:val="000000"/>
        </w:rPr>
        <w:t>,</w:t>
      </w:r>
      <w:r>
        <w:rPr>
          <w:color w:val="000000"/>
        </w:rPr>
        <w:t xml:space="preserve"> new lawsuits began to be filed against </w:t>
      </w:r>
      <w:r w:rsidR="006239B5">
        <w:rPr>
          <w:color w:val="000000"/>
        </w:rPr>
        <w:t>Oxy</w:t>
      </w:r>
      <w:r>
        <w:rPr>
          <w:color w:val="000000"/>
        </w:rPr>
        <w:t xml:space="preserve"> concerning its promotion and marketing of </w:t>
      </w:r>
      <w:r w:rsidR="00E82FD6">
        <w:rPr>
          <w:color w:val="000000"/>
        </w:rPr>
        <w:t>Oxy</w:t>
      </w:r>
      <w:r w:rsidR="006B7515">
        <w:rPr>
          <w:color w:val="000000"/>
        </w:rPr>
        <w:t>con</w:t>
      </w:r>
      <w:r w:rsidR="006A227C">
        <w:rPr>
          <w:color w:val="000000"/>
        </w:rPr>
        <w:t xml:space="preserve">.  </w:t>
      </w:r>
      <w:r>
        <w:rPr>
          <w:color w:val="000000"/>
        </w:rPr>
        <w:t>But this time</w:t>
      </w:r>
      <w:r w:rsidR="008B54D4">
        <w:rPr>
          <w:color w:val="000000"/>
        </w:rPr>
        <w:t>,</w:t>
      </w:r>
      <w:r>
        <w:rPr>
          <w:color w:val="000000"/>
        </w:rPr>
        <w:t xml:space="preserve"> members of the </w:t>
      </w:r>
      <w:r w:rsidR="00E82FD6">
        <w:rPr>
          <w:color w:val="000000"/>
        </w:rPr>
        <w:t>Packler</w:t>
      </w:r>
      <w:r>
        <w:rPr>
          <w:color w:val="000000"/>
        </w:rPr>
        <w:t xml:space="preserve"> family were named as defendants</w:t>
      </w:r>
      <w:r w:rsidR="006A227C">
        <w:rPr>
          <w:color w:val="000000"/>
        </w:rPr>
        <w:t xml:space="preserve">.  </w:t>
      </w:r>
    </w:p>
    <w:p w14:paraId="7737A535" w14:textId="33456539" w:rsidR="00A77BBD" w:rsidRPr="00B32325" w:rsidRDefault="00A77BBD" w:rsidP="00B32325">
      <w:pPr>
        <w:pStyle w:val="Heading4"/>
        <w:rPr>
          <w:u w:val="single"/>
        </w:rPr>
      </w:pPr>
      <w:r w:rsidRPr="00B32325">
        <w:rPr>
          <w:u w:val="single"/>
        </w:rPr>
        <w:t>The Federal Multi-District Litigation in the Northern District of Ohio</w:t>
      </w:r>
    </w:p>
    <w:p w14:paraId="2CC9D44C" w14:textId="1112D84F" w:rsidR="00A77BBD" w:rsidRDefault="00A77BBD" w:rsidP="00A77BBD">
      <w:pPr>
        <w:pStyle w:val="BodyTextFirstIndent"/>
      </w:pPr>
      <w:r>
        <w:rPr>
          <w:color w:val="000000"/>
        </w:rPr>
        <w:t>At the end of 2017</w:t>
      </w:r>
      <w:r w:rsidR="008B54D4">
        <w:rPr>
          <w:color w:val="000000"/>
        </w:rPr>
        <w:t>,</w:t>
      </w:r>
      <w:r>
        <w:rPr>
          <w:color w:val="000000"/>
        </w:rPr>
        <w:t xml:space="preserve"> sixty-four federal cases that had been brought in nine districts across the country by various government entities (state</w:t>
      </w:r>
      <w:r w:rsidR="008B54D4">
        <w:rPr>
          <w:color w:val="000000"/>
        </w:rPr>
        <w:t>,</w:t>
      </w:r>
      <w:r>
        <w:rPr>
          <w:color w:val="000000"/>
        </w:rPr>
        <w:t xml:space="preserve"> cities</w:t>
      </w:r>
      <w:r w:rsidR="008B54D4">
        <w:rPr>
          <w:color w:val="000000"/>
        </w:rPr>
        <w:t>,</w:t>
      </w:r>
      <w:r>
        <w:rPr>
          <w:color w:val="000000"/>
        </w:rPr>
        <w:t xml:space="preserve"> and counties) against </w:t>
      </w:r>
      <w:r w:rsidR="006239B5">
        <w:rPr>
          <w:color w:val="000000"/>
        </w:rPr>
        <w:t>Oxy</w:t>
      </w:r>
      <w:r>
        <w:rPr>
          <w:color w:val="000000"/>
        </w:rPr>
        <w:t xml:space="preserve"> and other defendants - including pharmacies (like Rite Aid)</w:t>
      </w:r>
      <w:r w:rsidR="008B54D4">
        <w:rPr>
          <w:color w:val="000000"/>
        </w:rPr>
        <w:t>,</w:t>
      </w:r>
      <w:r>
        <w:rPr>
          <w:color w:val="000000"/>
        </w:rPr>
        <w:t xml:space="preserve"> pharmaceutical companies (like Johnson &amp; Johnson)</w:t>
      </w:r>
      <w:r w:rsidR="008B54D4">
        <w:rPr>
          <w:color w:val="000000"/>
        </w:rPr>
        <w:t>,</w:t>
      </w:r>
      <w:r>
        <w:rPr>
          <w:color w:val="000000"/>
        </w:rPr>
        <w:t xml:space="preserve"> and pharmaceutical distributors (like McKesson Corporation) - were sent to coordinated multi-district litigation in the Northern District of Ohio (“Opioid MDL”)</w:t>
      </w:r>
      <w:r w:rsidR="006A227C">
        <w:rPr>
          <w:color w:val="000000"/>
        </w:rPr>
        <w:t xml:space="preserve">.  </w:t>
      </w:r>
      <w:r>
        <w:rPr>
          <w:color w:val="000000"/>
        </w:rPr>
        <w:t xml:space="preserve">The cases in the Opioid MDL asserted a variety of claims against </w:t>
      </w:r>
      <w:r w:rsidR="006239B5">
        <w:rPr>
          <w:color w:val="000000"/>
        </w:rPr>
        <w:t>Oxy</w:t>
      </w:r>
      <w:r>
        <w:rPr>
          <w:color w:val="000000"/>
        </w:rPr>
        <w:t xml:space="preserve"> and others for their role in the opioid crisis</w:t>
      </w:r>
      <w:r w:rsidR="008B54D4">
        <w:rPr>
          <w:color w:val="000000"/>
        </w:rPr>
        <w:t>,</w:t>
      </w:r>
      <w:r>
        <w:rPr>
          <w:color w:val="000000"/>
        </w:rPr>
        <w:t xml:space="preserve"> under theories of liability including:  (1) public nuisance</w:t>
      </w:r>
      <w:r w:rsidR="008B54D4">
        <w:rPr>
          <w:color w:val="000000"/>
        </w:rPr>
        <w:t>,</w:t>
      </w:r>
      <w:r>
        <w:rPr>
          <w:color w:val="000000"/>
        </w:rPr>
        <w:t xml:space="preserve"> (2) false representations</w:t>
      </w:r>
      <w:r w:rsidR="008B54D4">
        <w:rPr>
          <w:color w:val="000000"/>
        </w:rPr>
        <w:t>,</w:t>
      </w:r>
      <w:r>
        <w:rPr>
          <w:color w:val="000000"/>
        </w:rPr>
        <w:t xml:space="preserve"> (3) unjust enrichment</w:t>
      </w:r>
      <w:r w:rsidR="008B54D4">
        <w:rPr>
          <w:color w:val="000000"/>
        </w:rPr>
        <w:t>,</w:t>
      </w:r>
      <w:r>
        <w:rPr>
          <w:color w:val="000000"/>
        </w:rPr>
        <w:t xml:space="preserve"> (4) common law </w:t>
      </w:r>
      <w:r>
        <w:rPr>
          <w:i/>
          <w:iCs/>
          <w:color w:val="000000"/>
        </w:rPr>
        <w:t>parens patriae</w:t>
      </w:r>
      <w:r w:rsidR="008B54D4">
        <w:rPr>
          <w:color w:val="000000"/>
        </w:rPr>
        <w:t>,</w:t>
      </w:r>
      <w:r>
        <w:rPr>
          <w:color w:val="000000"/>
        </w:rPr>
        <w:t xml:space="preserve"> (5) negligence</w:t>
      </w:r>
      <w:r w:rsidR="008B54D4">
        <w:rPr>
          <w:color w:val="000000"/>
        </w:rPr>
        <w:t>,</w:t>
      </w:r>
      <w:r>
        <w:rPr>
          <w:color w:val="000000"/>
        </w:rPr>
        <w:t xml:space="preserve"> (6) gross negligence</w:t>
      </w:r>
      <w:r w:rsidR="008B54D4">
        <w:rPr>
          <w:color w:val="000000"/>
        </w:rPr>
        <w:t>,</w:t>
      </w:r>
      <w:r>
        <w:rPr>
          <w:color w:val="000000"/>
        </w:rPr>
        <w:t xml:space="preserve"> and (7) consumer protection act claims</w:t>
      </w:r>
      <w:r w:rsidR="006A227C">
        <w:rPr>
          <w:color w:val="000000"/>
        </w:rPr>
        <w:t xml:space="preserve">.  </w:t>
      </w:r>
    </w:p>
    <w:p w14:paraId="55E22CC4" w14:textId="5798F5E3" w:rsidR="00A77BBD" w:rsidRDefault="00A77BBD" w:rsidP="00A77BBD">
      <w:pPr>
        <w:pStyle w:val="BodyTextFirstIndent"/>
      </w:pPr>
      <w:r>
        <w:rPr>
          <w:color w:val="000000"/>
        </w:rPr>
        <w:t xml:space="preserve">At the time of </w:t>
      </w:r>
      <w:r w:rsidR="006239B5">
        <w:rPr>
          <w:color w:val="000000"/>
        </w:rPr>
        <w:t>Oxy</w:t>
      </w:r>
      <w:r w:rsidR="008B54D4">
        <w:rPr>
          <w:color w:val="000000"/>
        </w:rPr>
        <w:t>’</w:t>
      </w:r>
      <w:r>
        <w:rPr>
          <w:color w:val="000000"/>
        </w:rPr>
        <w:t>s filing for bankruptcy</w:t>
      </w:r>
      <w:r w:rsidR="008B54D4">
        <w:rPr>
          <w:color w:val="000000"/>
        </w:rPr>
        <w:t>,</w:t>
      </w:r>
      <w:r>
        <w:rPr>
          <w:color w:val="000000"/>
        </w:rPr>
        <w:t xml:space="preserve"> approximately 2</w:t>
      </w:r>
      <w:r w:rsidR="008B54D4">
        <w:rPr>
          <w:color w:val="000000"/>
        </w:rPr>
        <w:t>,</w:t>
      </w:r>
      <w:r>
        <w:rPr>
          <w:color w:val="000000"/>
        </w:rPr>
        <w:t xml:space="preserve">200 actions against </w:t>
      </w:r>
      <w:r w:rsidR="006239B5">
        <w:rPr>
          <w:color w:val="000000"/>
        </w:rPr>
        <w:t>Oxy</w:t>
      </w:r>
      <w:r>
        <w:rPr>
          <w:color w:val="000000"/>
        </w:rPr>
        <w:t xml:space="preserve"> related to the opioid crisis were pending </w:t>
      </w:r>
      <w:r w:rsidR="007E0307">
        <w:rPr>
          <w:color w:val="000000"/>
        </w:rPr>
        <w:t xml:space="preserve">in the </w:t>
      </w:r>
      <w:r w:rsidR="008009B9">
        <w:rPr>
          <w:color w:val="000000"/>
        </w:rPr>
        <w:t>Opioid</w:t>
      </w:r>
      <w:r w:rsidR="007E0307">
        <w:rPr>
          <w:color w:val="000000"/>
        </w:rPr>
        <w:t xml:space="preserve"> MDL.</w:t>
      </w:r>
    </w:p>
    <w:p w14:paraId="60DC4E24" w14:textId="0FFFA94E" w:rsidR="00A77BBD" w:rsidRDefault="007E0307" w:rsidP="00A77BBD">
      <w:pPr>
        <w:pStyle w:val="BodyTextFirstIndent"/>
      </w:pPr>
      <w:r>
        <w:rPr>
          <w:color w:val="000000"/>
        </w:rPr>
        <w:t xml:space="preserve">The </w:t>
      </w:r>
      <w:r w:rsidR="008009B9">
        <w:rPr>
          <w:color w:val="000000"/>
        </w:rPr>
        <w:t>Opioid</w:t>
      </w:r>
      <w:r w:rsidR="00A77BBD">
        <w:rPr>
          <w:color w:val="000000"/>
        </w:rPr>
        <w:t xml:space="preserve"> cases </w:t>
      </w:r>
      <w:r w:rsidR="008009B9">
        <w:rPr>
          <w:color w:val="000000"/>
        </w:rPr>
        <w:t>were put</w:t>
      </w:r>
      <w:r w:rsidR="00A77BBD">
        <w:rPr>
          <w:color w:val="000000"/>
        </w:rPr>
        <w:t xml:space="preserve"> on a settlement track and litigation track and assigned a Special Master to assist in their management</w:t>
      </w:r>
      <w:r w:rsidR="006A227C">
        <w:rPr>
          <w:color w:val="000000"/>
        </w:rPr>
        <w:t xml:space="preserve">.  </w:t>
      </w:r>
      <w:r w:rsidR="00A77BBD">
        <w:rPr>
          <w:color w:val="000000"/>
        </w:rPr>
        <w:t xml:space="preserve">Given the immense scope of the opioid crisis </w:t>
      </w:r>
      <w:r w:rsidR="008009B9">
        <w:rPr>
          <w:color w:val="000000"/>
        </w:rPr>
        <w:t>the assigned judge</w:t>
      </w:r>
      <w:r w:rsidR="00A77BBD">
        <w:rPr>
          <w:color w:val="000000"/>
        </w:rPr>
        <w:t xml:space="preserve"> was </w:t>
      </w:r>
      <w:r w:rsidR="00BA3AB2">
        <w:rPr>
          <w:color w:val="000000"/>
        </w:rPr>
        <w:t>v</w:t>
      </w:r>
      <w:r w:rsidR="00A77BBD">
        <w:rPr>
          <w:color w:val="000000"/>
        </w:rPr>
        <w:t>ery active from the outset of the MDL in encouraging all sides to consider settlement.</w:t>
      </w:r>
    </w:p>
    <w:p w14:paraId="7EAEAD57" w14:textId="3082166B" w:rsidR="00A77BBD" w:rsidRDefault="00A77BBD" w:rsidP="00A77BBD">
      <w:pPr>
        <w:pStyle w:val="BodyTextFirstIndent"/>
      </w:pPr>
      <w:r>
        <w:rPr>
          <w:color w:val="000000"/>
        </w:rPr>
        <w:t>Within the litigation track</w:t>
      </w:r>
      <w:r w:rsidR="008B54D4">
        <w:rPr>
          <w:color w:val="000000"/>
        </w:rPr>
        <w:t>,</w:t>
      </w:r>
      <w:r>
        <w:rPr>
          <w:color w:val="000000"/>
        </w:rPr>
        <w:t xml:space="preserve"> </w:t>
      </w:r>
      <w:r w:rsidR="008009B9">
        <w:rPr>
          <w:color w:val="000000"/>
        </w:rPr>
        <w:t>the opioid MDL court</w:t>
      </w:r>
      <w:r>
        <w:rPr>
          <w:color w:val="000000"/>
        </w:rPr>
        <w:t xml:space="preserve"> designated attorneys to coordinate discovery in related state and federal cases and issued a case management order meant to </w:t>
      </w:r>
      <w:r w:rsidR="00BA3AB2">
        <w:rPr>
          <w:color w:val="000000"/>
        </w:rPr>
        <w:t>f</w:t>
      </w:r>
      <w:r>
        <w:rPr>
          <w:color w:val="000000"/>
        </w:rPr>
        <w:t>acilitate</w:t>
      </w:r>
      <w:r w:rsidR="008B54D4">
        <w:rPr>
          <w:color w:val="000000"/>
        </w:rPr>
        <w:t>,</w:t>
      </w:r>
      <w:r>
        <w:rPr>
          <w:color w:val="000000"/>
        </w:rPr>
        <w:t xml:space="preserve"> to the maximum extent possible</w:t>
      </w:r>
      <w:r w:rsidR="008B54D4">
        <w:rPr>
          <w:color w:val="000000"/>
        </w:rPr>
        <w:t>,</w:t>
      </w:r>
      <w:r>
        <w:rPr>
          <w:color w:val="000000"/>
        </w:rPr>
        <w:t xml:space="preserve"> coordination with parallel state court cases. </w:t>
      </w:r>
      <w:r w:rsidR="008009B9">
        <w:rPr>
          <w:color w:val="000000"/>
        </w:rPr>
        <w:t>A</w:t>
      </w:r>
      <w:r>
        <w:rPr>
          <w:color w:val="000000"/>
        </w:rPr>
        <w:t xml:space="preserve"> joint database of all prescription opiate cases filed in state and federal courts</w:t>
      </w:r>
      <w:r w:rsidR="008009B9">
        <w:rPr>
          <w:color w:val="000000"/>
        </w:rPr>
        <w:t xml:space="preserve"> was established</w:t>
      </w:r>
      <w:r w:rsidR="008B54D4">
        <w:rPr>
          <w:color w:val="000000"/>
        </w:rPr>
        <w:t>,</w:t>
      </w:r>
      <w:r>
        <w:rPr>
          <w:color w:val="000000"/>
        </w:rPr>
        <w:t xml:space="preserve"> so that information and documents could be tracked and discovery cross-noticed</w:t>
      </w:r>
      <w:r w:rsidR="006A227C">
        <w:rPr>
          <w:color w:val="000000"/>
        </w:rPr>
        <w:t xml:space="preserve">.  </w:t>
      </w:r>
      <w:r>
        <w:rPr>
          <w:color w:val="000000"/>
        </w:rPr>
        <w:t>Over 450 depositions were taken under the Opioid MDL umbrella</w:t>
      </w:r>
      <w:r w:rsidR="008B54D4">
        <w:rPr>
          <w:color w:val="000000"/>
        </w:rPr>
        <w:t>,</w:t>
      </w:r>
      <w:r>
        <w:rPr>
          <w:color w:val="000000"/>
        </w:rPr>
        <w:t xml:space="preserve"> and over 160 million pages of documents were produced</w:t>
      </w:r>
      <w:r w:rsidR="006A227C">
        <w:rPr>
          <w:color w:val="000000"/>
        </w:rPr>
        <w:t xml:space="preserve">.  </w:t>
      </w:r>
    </w:p>
    <w:p w14:paraId="0E3CE2E3" w14:textId="674912C2" w:rsidR="00A77BBD" w:rsidRDefault="00A77BBD" w:rsidP="00A77BBD">
      <w:pPr>
        <w:pStyle w:val="BodyTextFirstIndent"/>
      </w:pPr>
      <w:r>
        <w:rPr>
          <w:color w:val="000000"/>
        </w:rPr>
        <w:t>The extensive discovery in the Opioid MDL</w:t>
      </w:r>
      <w:r w:rsidR="008B54D4">
        <w:rPr>
          <w:color w:val="000000"/>
        </w:rPr>
        <w:t>,</w:t>
      </w:r>
      <w:r>
        <w:rPr>
          <w:color w:val="000000"/>
        </w:rPr>
        <w:t xml:space="preserve"> and the discovery coordination it facilitated</w:t>
      </w:r>
      <w:r w:rsidR="008B54D4">
        <w:rPr>
          <w:color w:val="000000"/>
        </w:rPr>
        <w:t>,</w:t>
      </w:r>
      <w:r>
        <w:rPr>
          <w:color w:val="000000"/>
        </w:rPr>
        <w:t xml:space="preserve"> revealed for the first time the involvement of certain members of the </w:t>
      </w:r>
      <w:r w:rsidR="00E82FD6">
        <w:rPr>
          <w:color w:val="000000"/>
        </w:rPr>
        <w:t>Packler</w:t>
      </w:r>
      <w:r>
        <w:rPr>
          <w:color w:val="000000"/>
        </w:rPr>
        <w:t xml:space="preserve"> family in acts that </w:t>
      </w:r>
      <w:r w:rsidR="006239B5">
        <w:rPr>
          <w:color w:val="000000"/>
        </w:rPr>
        <w:t>Oxy</w:t>
      </w:r>
      <w:r>
        <w:rPr>
          <w:color w:val="000000"/>
        </w:rPr>
        <w:t xml:space="preserve"> had agreed not to commit as part of the 200</w:t>
      </w:r>
      <w:r w:rsidR="008009B9">
        <w:rPr>
          <w:color w:val="000000"/>
        </w:rPr>
        <w:t>8</w:t>
      </w:r>
      <w:r>
        <w:rPr>
          <w:color w:val="000000"/>
        </w:rPr>
        <w:t xml:space="preserve"> Plea Agreement</w:t>
      </w:r>
      <w:r w:rsidR="006A227C">
        <w:rPr>
          <w:color w:val="000000"/>
        </w:rPr>
        <w:t xml:space="preserve">.  </w:t>
      </w:r>
      <w:r>
        <w:rPr>
          <w:color w:val="000000"/>
        </w:rPr>
        <w:t>Schedule A to the 2020 Plea Agreement - to which facts the corporation has stipulated</w:t>
      </w:r>
      <w:r w:rsidR="008B54D4">
        <w:rPr>
          <w:color w:val="000000"/>
        </w:rPr>
        <w:t>,</w:t>
      </w:r>
      <w:r>
        <w:rPr>
          <w:color w:val="000000"/>
        </w:rPr>
        <w:t xml:space="preserve"> so they are deemed proved</w:t>
      </w:r>
      <w:r>
        <w:rPr>
          <w:rStyle w:val="FootnoteReference"/>
          <w:rFonts w:eastAsia="Times New Roman" w:cs="Times New Roman"/>
          <w:color w:val="000000"/>
          <w:vertAlign w:val="superscript"/>
        </w:rPr>
        <w:footnoteReference w:id="11"/>
      </w:r>
      <w:r>
        <w:rPr>
          <w:color w:val="000000"/>
        </w:rPr>
        <w:t xml:space="preserve"> - chronicles </w:t>
      </w:r>
      <w:r w:rsidR="006239B5">
        <w:rPr>
          <w:color w:val="000000"/>
        </w:rPr>
        <w:t>Oxy</w:t>
      </w:r>
      <w:r w:rsidR="008B54D4">
        <w:rPr>
          <w:color w:val="000000"/>
        </w:rPr>
        <w:t>’</w:t>
      </w:r>
      <w:r>
        <w:rPr>
          <w:color w:val="000000"/>
        </w:rPr>
        <w:t>s extensive violation of the 200</w:t>
      </w:r>
      <w:r w:rsidR="008009B9">
        <w:rPr>
          <w:color w:val="000000"/>
        </w:rPr>
        <w:t>8</w:t>
      </w:r>
      <w:r>
        <w:rPr>
          <w:color w:val="000000"/>
        </w:rPr>
        <w:t xml:space="preserve"> Plea Agreement</w:t>
      </w:r>
      <w:r w:rsidR="008B54D4">
        <w:rPr>
          <w:color w:val="000000"/>
        </w:rPr>
        <w:t>,</w:t>
      </w:r>
      <w:r>
        <w:rPr>
          <w:color w:val="000000"/>
        </w:rPr>
        <w:t xml:space="preserve"> which began almost from the time the ink was dry on the papers</w:t>
      </w:r>
      <w:r w:rsidR="006A227C">
        <w:rPr>
          <w:color w:val="000000"/>
        </w:rPr>
        <w:t xml:space="preserve">.  </w:t>
      </w:r>
      <w:r>
        <w:rPr>
          <w:color w:val="000000"/>
        </w:rPr>
        <w:t>Unable to deny what was apparent from the Opioid MDL discovery</w:t>
      </w:r>
      <w:r w:rsidR="008B54D4">
        <w:rPr>
          <w:color w:val="000000"/>
        </w:rPr>
        <w:t>,</w:t>
      </w:r>
      <w:r>
        <w:rPr>
          <w:color w:val="000000"/>
        </w:rPr>
        <w:t xml:space="preserve"> the corporation admitted that </w:t>
      </w:r>
      <w:r w:rsidR="006239B5">
        <w:rPr>
          <w:color w:val="000000"/>
        </w:rPr>
        <w:t>Oxy</w:t>
      </w:r>
      <w:r>
        <w:rPr>
          <w:color w:val="000000"/>
        </w:rPr>
        <w:t xml:space="preserve"> had engaged in aggressive efforts to boost opioid sales</w:t>
      </w:r>
      <w:r w:rsidR="008B54D4">
        <w:rPr>
          <w:color w:val="000000"/>
        </w:rPr>
        <w:t>,</w:t>
      </w:r>
      <w:r>
        <w:rPr>
          <w:color w:val="000000"/>
        </w:rPr>
        <w:t xml:space="preserve"> including:  offering payments to induce health care providers to write more prescriptions of </w:t>
      </w:r>
      <w:r w:rsidR="006239B5">
        <w:rPr>
          <w:color w:val="000000"/>
        </w:rPr>
        <w:t>Oxy</w:t>
      </w:r>
      <w:r>
        <w:rPr>
          <w:color w:val="000000"/>
        </w:rPr>
        <w:t xml:space="preserve"> opioid products</w:t>
      </w:r>
      <w:r w:rsidR="008B54D4">
        <w:rPr>
          <w:color w:val="000000"/>
        </w:rPr>
        <w:t>,</w:t>
      </w:r>
      <w:r>
        <w:rPr>
          <w:color w:val="000000"/>
        </w:rPr>
        <w:t xml:space="preserve"> offering “prescription savings cards” for health care providers to give patients to encourage them to fill prescriptions for opioids</w:t>
      </w:r>
      <w:r w:rsidR="008B54D4">
        <w:rPr>
          <w:color w:val="000000"/>
        </w:rPr>
        <w:t>,</w:t>
      </w:r>
      <w:r>
        <w:rPr>
          <w:color w:val="000000"/>
        </w:rPr>
        <w:t xml:space="preserve"> and failing to maintain effective controls against diversion</w:t>
      </w:r>
      <w:r w:rsidR="008B54D4">
        <w:rPr>
          <w:color w:val="000000"/>
        </w:rPr>
        <w:t>,</w:t>
      </w:r>
      <w:r>
        <w:rPr>
          <w:color w:val="000000"/>
        </w:rPr>
        <w:t xml:space="preserve"> which included failing to inform the United States Drug Enforcement Administration that health care providers flagged for abuse filled over 1.4 million </w:t>
      </w:r>
      <w:r w:rsidR="00E82FD6">
        <w:rPr>
          <w:color w:val="000000"/>
        </w:rPr>
        <w:t>Oxy</w:t>
      </w:r>
      <w:r w:rsidR="00270A30">
        <w:rPr>
          <w:color w:val="000000"/>
        </w:rPr>
        <w:t>con</w:t>
      </w:r>
      <w:r>
        <w:rPr>
          <w:color w:val="000000"/>
        </w:rPr>
        <w:t xml:space="preserve"> prescriptions</w:t>
      </w:r>
      <w:r w:rsidR="006A227C">
        <w:rPr>
          <w:color w:val="000000"/>
        </w:rPr>
        <w:t xml:space="preserve">.  </w:t>
      </w:r>
    </w:p>
    <w:p w14:paraId="50D8D0BE" w14:textId="3816F224" w:rsidR="00A77BBD" w:rsidRDefault="00A77BBD" w:rsidP="00A77BBD">
      <w:pPr>
        <w:pStyle w:val="BodyTextFirstIndent"/>
      </w:pPr>
      <w:r>
        <w:rPr>
          <w:color w:val="000000"/>
        </w:rPr>
        <w:t xml:space="preserve">Evidence produced in discovery also “subjected the </w:t>
      </w:r>
      <w:r w:rsidR="00E82FD6">
        <w:rPr>
          <w:color w:val="000000"/>
        </w:rPr>
        <w:t>Packler</w:t>
      </w:r>
      <w:r>
        <w:rPr>
          <w:color w:val="000000"/>
        </w:rPr>
        <w:t xml:space="preserve">s to increasing scrutiny and pointed towards culpability of certain members of the family </w:t>
      </w:r>
      <w:r w:rsidR="006A227C">
        <w:rPr>
          <w:color w:val="000000"/>
        </w:rPr>
        <w:t xml:space="preserve">. . </w:t>
      </w:r>
      <w:r>
        <w:rPr>
          <w:color w:val="000000"/>
        </w:rPr>
        <w:t>.”</w:t>
      </w:r>
      <w:r w:rsidR="000004B0">
        <w:rPr>
          <w:color w:val="000000"/>
        </w:rPr>
        <w:t xml:space="preserve"> </w:t>
      </w:r>
      <w:r>
        <w:rPr>
          <w:color w:val="000000"/>
        </w:rPr>
        <w:t xml:space="preserve"> This evidence demonstrated that members of the </w:t>
      </w:r>
      <w:r w:rsidR="00E82FD6">
        <w:rPr>
          <w:color w:val="000000"/>
        </w:rPr>
        <w:t>Packler</w:t>
      </w:r>
      <w:r>
        <w:rPr>
          <w:color w:val="000000"/>
        </w:rPr>
        <w:t xml:space="preserve"> family were heavily involved in decisions on how to market and sell opioids</w:t>
      </w:r>
      <w:r w:rsidR="008009B9">
        <w:rPr>
          <w:color w:val="000000"/>
        </w:rPr>
        <w:t xml:space="preserve">. </w:t>
      </w:r>
      <w:r>
        <w:rPr>
          <w:color w:val="000000"/>
        </w:rPr>
        <w:t xml:space="preserve">Certain </w:t>
      </w:r>
      <w:r w:rsidR="00E82FD6">
        <w:rPr>
          <w:color w:val="000000"/>
        </w:rPr>
        <w:t>Packler</w:t>
      </w:r>
      <w:r>
        <w:rPr>
          <w:color w:val="000000"/>
        </w:rPr>
        <w:t>s</w:t>
      </w:r>
      <w:r w:rsidR="008009B9">
        <w:rPr>
          <w:color w:val="000000"/>
        </w:rPr>
        <w:t xml:space="preserve"> </w:t>
      </w:r>
      <w:r>
        <w:rPr>
          <w:color w:val="000000"/>
        </w:rPr>
        <w:t xml:space="preserve">aggressively set and pushed sales targets for </w:t>
      </w:r>
      <w:r w:rsidR="00E82FD6">
        <w:rPr>
          <w:color w:val="000000"/>
        </w:rPr>
        <w:t>Oxy</w:t>
      </w:r>
      <w:r w:rsidR="006B7515">
        <w:rPr>
          <w:color w:val="000000"/>
        </w:rPr>
        <w:t>con</w:t>
      </w:r>
      <w:r>
        <w:rPr>
          <w:color w:val="000000"/>
        </w:rPr>
        <w:t xml:space="preserve"> that were higher than those recommended by </w:t>
      </w:r>
      <w:r w:rsidR="006239B5">
        <w:rPr>
          <w:color w:val="000000"/>
        </w:rPr>
        <w:t>Oxy</w:t>
      </w:r>
      <w:r>
        <w:rPr>
          <w:color w:val="000000"/>
        </w:rPr>
        <w:t xml:space="preserve"> executives</w:t>
      </w:r>
      <w:r w:rsidR="008009B9">
        <w:rPr>
          <w:color w:val="000000"/>
        </w:rPr>
        <w:t xml:space="preserve">; </w:t>
      </w:r>
      <w:r>
        <w:rPr>
          <w:color w:val="000000"/>
        </w:rPr>
        <w:t xml:space="preserve">accompanied sales representatives on “ride along” visits to health care providers to promote “the sale of </w:t>
      </w:r>
      <w:r w:rsidR="006239B5">
        <w:rPr>
          <w:color w:val="000000"/>
        </w:rPr>
        <w:t>Oxy</w:t>
      </w:r>
      <w:r w:rsidR="008B54D4">
        <w:rPr>
          <w:color w:val="000000"/>
        </w:rPr>
        <w:t>’</w:t>
      </w:r>
      <w:r>
        <w:rPr>
          <w:color w:val="000000"/>
        </w:rPr>
        <w:t xml:space="preserve">s opioids”; approved countless settlements related to </w:t>
      </w:r>
      <w:r w:rsidR="006239B5">
        <w:rPr>
          <w:color w:val="000000"/>
        </w:rPr>
        <w:t>Oxy</w:t>
      </w:r>
      <w:r w:rsidR="008B54D4">
        <w:rPr>
          <w:color w:val="000000"/>
        </w:rPr>
        <w:t>’</w:t>
      </w:r>
      <w:r>
        <w:rPr>
          <w:color w:val="000000"/>
        </w:rPr>
        <w:t>s culpable conduct</w:t>
      </w:r>
      <w:r w:rsidR="008009B9">
        <w:rPr>
          <w:color w:val="000000"/>
        </w:rPr>
        <w:t xml:space="preserve">; </w:t>
      </w:r>
      <w:r>
        <w:rPr>
          <w:color w:val="000000"/>
        </w:rPr>
        <w:t xml:space="preserve">and oversaw sales and marketing budgets and corresponding upward trends in </w:t>
      </w:r>
      <w:r w:rsidR="00E82FD6">
        <w:rPr>
          <w:color w:val="000000"/>
        </w:rPr>
        <w:t>Oxy</w:t>
      </w:r>
      <w:r>
        <w:rPr>
          <w:color w:val="000000"/>
        </w:rPr>
        <w:t xml:space="preserve"> prescribing</w:t>
      </w:r>
      <w:r w:rsidR="006A227C">
        <w:rPr>
          <w:color w:val="000000"/>
        </w:rPr>
        <w:t xml:space="preserve">.  </w:t>
      </w:r>
    </w:p>
    <w:p w14:paraId="28CCDE4B" w14:textId="544123A6" w:rsidR="00A77BBD" w:rsidRDefault="00A77BBD" w:rsidP="00A77BBD">
      <w:pPr>
        <w:pStyle w:val="BodyTextFirstIndent"/>
      </w:pPr>
      <w:r>
        <w:rPr>
          <w:color w:val="000000"/>
        </w:rPr>
        <w:t xml:space="preserve">As discovery turned up evidence of the involvement of members of the </w:t>
      </w:r>
      <w:r w:rsidR="00E82FD6">
        <w:rPr>
          <w:color w:val="000000"/>
        </w:rPr>
        <w:t>Packler</w:t>
      </w:r>
      <w:r>
        <w:rPr>
          <w:color w:val="000000"/>
        </w:rPr>
        <w:t xml:space="preserve"> family in </w:t>
      </w:r>
      <w:r w:rsidR="006239B5">
        <w:rPr>
          <w:color w:val="000000"/>
        </w:rPr>
        <w:t>Oxy</w:t>
      </w:r>
      <w:r w:rsidR="008B54D4">
        <w:rPr>
          <w:color w:val="000000"/>
        </w:rPr>
        <w:t>’</w:t>
      </w:r>
      <w:r>
        <w:rPr>
          <w:color w:val="000000"/>
        </w:rPr>
        <w:t>s misconduct</w:t>
      </w:r>
      <w:r w:rsidR="008B54D4">
        <w:rPr>
          <w:color w:val="000000"/>
        </w:rPr>
        <w:t>,</w:t>
      </w:r>
      <w:r>
        <w:rPr>
          <w:color w:val="000000"/>
        </w:rPr>
        <w:t xml:space="preserve"> those family members were added as defendants in a number of cases pending against </w:t>
      </w:r>
      <w:r w:rsidR="006239B5">
        <w:rPr>
          <w:color w:val="000000"/>
        </w:rPr>
        <w:t>Oxy</w:t>
      </w:r>
      <w:r w:rsidR="006A227C">
        <w:rPr>
          <w:color w:val="000000"/>
        </w:rPr>
        <w:t xml:space="preserve">.  </w:t>
      </w:r>
    </w:p>
    <w:p w14:paraId="5678B1D8" w14:textId="57609785" w:rsidR="00A77BBD" w:rsidRPr="00B32325" w:rsidRDefault="00A77BBD" w:rsidP="00B32325">
      <w:pPr>
        <w:pStyle w:val="Heading4"/>
        <w:rPr>
          <w:u w:val="single"/>
        </w:rPr>
      </w:pPr>
      <w:r w:rsidRPr="00B32325">
        <w:rPr>
          <w:u w:val="single"/>
        </w:rPr>
        <w:t>State Multi-District Litigations</w:t>
      </w:r>
    </w:p>
    <w:p w14:paraId="6F4B9A0F" w14:textId="6201703E" w:rsidR="00A77BBD" w:rsidRDefault="00A77BBD" w:rsidP="00A77BBD">
      <w:pPr>
        <w:pStyle w:val="BodyTextFirstIndent"/>
      </w:pPr>
      <w:r>
        <w:rPr>
          <w:color w:val="000000"/>
        </w:rPr>
        <w:t>In addition to the Opioid MDL</w:t>
      </w:r>
      <w:r w:rsidR="008B54D4">
        <w:rPr>
          <w:color w:val="000000"/>
        </w:rPr>
        <w:t>,</w:t>
      </w:r>
      <w:r>
        <w:rPr>
          <w:color w:val="000000"/>
        </w:rPr>
        <w:t xml:space="preserve"> over 390 parallel actions against </w:t>
      </w:r>
      <w:r w:rsidR="006239B5">
        <w:rPr>
          <w:color w:val="000000"/>
        </w:rPr>
        <w:t>Oxy</w:t>
      </w:r>
      <w:r>
        <w:rPr>
          <w:color w:val="000000"/>
        </w:rPr>
        <w:t xml:space="preserve"> proliferated in state courts</w:t>
      </w:r>
      <w:r w:rsidR="008B54D4">
        <w:rPr>
          <w:color w:val="000000"/>
        </w:rPr>
        <w:t>,</w:t>
      </w:r>
      <w:r>
        <w:rPr>
          <w:color w:val="000000"/>
        </w:rPr>
        <w:t xml:space="preserve"> as well as in local courts in D.C.</w:t>
      </w:r>
      <w:r w:rsidR="008B54D4">
        <w:rPr>
          <w:color w:val="000000"/>
        </w:rPr>
        <w:t>,</w:t>
      </w:r>
      <w:r>
        <w:rPr>
          <w:color w:val="000000"/>
        </w:rPr>
        <w:t xml:space="preserve"> Puerto Rico</w:t>
      </w:r>
      <w:r w:rsidR="008B54D4">
        <w:rPr>
          <w:color w:val="000000"/>
        </w:rPr>
        <w:t>,</w:t>
      </w:r>
      <w:r>
        <w:rPr>
          <w:color w:val="000000"/>
        </w:rPr>
        <w:t xml:space="preserve"> and Guam</w:t>
      </w:r>
      <w:r w:rsidR="006A227C">
        <w:rPr>
          <w:color w:val="000000"/>
        </w:rPr>
        <w:t xml:space="preserve">.  </w:t>
      </w:r>
      <w:r>
        <w:rPr>
          <w:color w:val="000000"/>
        </w:rPr>
        <w:t>(</w:t>
      </w:r>
      <w:hyperlink r:id="rId27" w:history="1">
        <w:r w:rsidR="002F4854">
          <w:rPr>
            <w:color w:val="000000"/>
          </w:rPr>
          <w:t xml:space="preserve">Dkt. </w:t>
        </w:r>
        <w:r w:rsidR="002E3DAF">
          <w:rPr>
            <w:color w:val="000000"/>
          </w:rPr>
          <w:t xml:space="preserve">No. </w:t>
        </w:r>
        <w:r>
          <w:rPr>
            <w:color w:val="000000"/>
          </w:rPr>
          <w:t>91-4</w:t>
        </w:r>
        <w:r w:rsidR="008B54D4">
          <w:rPr>
            <w:color w:val="000000"/>
          </w:rPr>
          <w:t>,</w:t>
        </w:r>
        <w:r>
          <w:rPr>
            <w:color w:val="000000"/>
          </w:rPr>
          <w:t xml:space="preserve"> at</w:t>
        </w:r>
      </w:hyperlink>
      <w:r>
        <w:rPr>
          <w:color w:val="000000"/>
        </w:rPr>
        <w:t xml:space="preserve"> App.1273)</w:t>
      </w:r>
      <w:r w:rsidR="006A227C">
        <w:rPr>
          <w:color w:val="000000"/>
        </w:rPr>
        <w:t xml:space="preserve">.  </w:t>
      </w:r>
      <w:r>
        <w:rPr>
          <w:color w:val="000000"/>
        </w:rPr>
        <w:t>The causes of actions asserted in these various litigations included:  (1) violations of state false claims acts; (2) violations of state consumer protection laws; (3) public nuisance; (4) fraud; (5) negligence; (6) unjust enrichment; (7) civil conspiracy; (8) violations of state controlled- substances acts; (9) fraudulent transfer; (10) strict products liability; and (11)</w:t>
      </w:r>
      <w:r w:rsidR="0005772E">
        <w:rPr>
          <w:color w:val="000000"/>
        </w:rPr>
        <w:t> </w:t>
      </w:r>
      <w:r>
        <w:rPr>
          <w:color w:val="000000"/>
        </w:rPr>
        <w:t>wrongful death and loss of consortium</w:t>
      </w:r>
      <w:r w:rsidR="006A227C">
        <w:rPr>
          <w:color w:val="000000"/>
        </w:rPr>
        <w:t xml:space="preserve">.  </w:t>
      </w:r>
    </w:p>
    <w:p w14:paraId="287F362F" w14:textId="43297CBC" w:rsidR="00A77BBD" w:rsidRDefault="00A77BBD" w:rsidP="00A77BBD">
      <w:pPr>
        <w:pStyle w:val="BodyTextFirstIndent"/>
      </w:pPr>
      <w:r>
        <w:rPr>
          <w:color w:val="000000"/>
        </w:rPr>
        <w:t xml:space="preserve">While members of the </w:t>
      </w:r>
      <w:r w:rsidR="00E82FD6">
        <w:rPr>
          <w:color w:val="000000"/>
        </w:rPr>
        <w:t>Packler</w:t>
      </w:r>
      <w:r>
        <w:rPr>
          <w:color w:val="000000"/>
        </w:rPr>
        <w:t xml:space="preserve"> family were not originally named as defendants in these state court coordinated actions</w:t>
      </w:r>
      <w:r w:rsidR="008B54D4">
        <w:rPr>
          <w:color w:val="000000"/>
        </w:rPr>
        <w:t>,</w:t>
      </w:r>
      <w:r>
        <w:rPr>
          <w:color w:val="000000"/>
        </w:rPr>
        <w:t xml:space="preserve"> once their role in the marketing of </w:t>
      </w:r>
      <w:r w:rsidR="00E82FD6">
        <w:rPr>
          <w:color w:val="000000"/>
        </w:rPr>
        <w:t>Oxy</w:t>
      </w:r>
      <w:r w:rsidR="006B7515">
        <w:rPr>
          <w:color w:val="000000"/>
        </w:rPr>
        <w:t>con</w:t>
      </w:r>
      <w:r>
        <w:rPr>
          <w:color w:val="000000"/>
        </w:rPr>
        <w:t xml:space="preserve"> post-200</w:t>
      </w:r>
      <w:r w:rsidR="008009B9">
        <w:rPr>
          <w:color w:val="000000"/>
        </w:rPr>
        <w:t>8</w:t>
      </w:r>
      <w:r>
        <w:rPr>
          <w:color w:val="000000"/>
        </w:rPr>
        <w:t xml:space="preserve"> was revealed in the Opioid MDL discovery</w:t>
      </w:r>
      <w:r w:rsidR="008B54D4">
        <w:rPr>
          <w:color w:val="000000"/>
        </w:rPr>
        <w:t>,</w:t>
      </w:r>
      <w:r>
        <w:rPr>
          <w:color w:val="000000"/>
        </w:rPr>
        <w:t xml:space="preserve"> complaints in many state litigations were amended to name members of the </w:t>
      </w:r>
      <w:r w:rsidR="00E82FD6">
        <w:rPr>
          <w:color w:val="000000"/>
        </w:rPr>
        <w:t>Packler</w:t>
      </w:r>
      <w:r>
        <w:rPr>
          <w:color w:val="000000"/>
        </w:rPr>
        <w:t xml:space="preserve"> family as defendants</w:t>
      </w:r>
      <w:r w:rsidR="006A227C">
        <w:rPr>
          <w:color w:val="000000"/>
        </w:rPr>
        <w:t xml:space="preserve">.  </w:t>
      </w:r>
      <w:r>
        <w:rPr>
          <w:color w:val="000000"/>
        </w:rPr>
        <w:t>In at least three of these cases</w:t>
      </w:r>
      <w:r w:rsidR="008B54D4">
        <w:rPr>
          <w:color w:val="000000"/>
        </w:rPr>
        <w:t>,</w:t>
      </w:r>
      <w:r>
        <w:rPr>
          <w:color w:val="000000"/>
        </w:rPr>
        <w:t xml:space="preserve"> state courts denied the </w:t>
      </w:r>
      <w:r w:rsidR="00E82FD6">
        <w:rPr>
          <w:color w:val="000000"/>
        </w:rPr>
        <w:t>Packler</w:t>
      </w:r>
      <w:r>
        <w:rPr>
          <w:color w:val="000000"/>
        </w:rPr>
        <w:t xml:space="preserve"> defendants</w:t>
      </w:r>
      <w:r w:rsidR="008B54D4">
        <w:rPr>
          <w:color w:val="000000"/>
        </w:rPr>
        <w:t>’</w:t>
      </w:r>
      <w:r>
        <w:rPr>
          <w:color w:val="000000"/>
        </w:rPr>
        <w:t xml:space="preserve"> motions to dismiss the claims against them</w:t>
      </w:r>
      <w:r w:rsidR="006A227C">
        <w:rPr>
          <w:color w:val="000000"/>
        </w:rPr>
        <w:t xml:space="preserve">.  </w:t>
      </w:r>
    </w:p>
    <w:p w14:paraId="334E604C" w14:textId="32B841F1" w:rsidR="00A77BBD" w:rsidRDefault="00A77BBD" w:rsidP="00A77BBD">
      <w:pPr>
        <w:pStyle w:val="BodyTextFirstIndent"/>
      </w:pPr>
      <w:r>
        <w:rPr>
          <w:color w:val="000000"/>
        </w:rPr>
        <w:t>Thus</w:t>
      </w:r>
      <w:r w:rsidR="008B54D4">
        <w:rPr>
          <w:color w:val="000000"/>
        </w:rPr>
        <w:t>,</w:t>
      </w:r>
      <w:r>
        <w:rPr>
          <w:color w:val="000000"/>
        </w:rPr>
        <w:t xml:space="preserve"> when </w:t>
      </w:r>
      <w:r w:rsidR="006239B5">
        <w:rPr>
          <w:color w:val="000000"/>
        </w:rPr>
        <w:t>Oxy</w:t>
      </w:r>
      <w:r>
        <w:rPr>
          <w:color w:val="000000"/>
        </w:rPr>
        <w:t xml:space="preserve"> filed for bankruptcy in September 2019</w:t>
      </w:r>
      <w:r w:rsidR="008B54D4">
        <w:rPr>
          <w:color w:val="000000"/>
        </w:rPr>
        <w:t>,</w:t>
      </w:r>
      <w:r>
        <w:rPr>
          <w:color w:val="000000"/>
        </w:rPr>
        <w:t xml:space="preserve"> the threat of liability for at least some members of the </w:t>
      </w:r>
      <w:r w:rsidR="00E82FD6">
        <w:rPr>
          <w:color w:val="000000"/>
        </w:rPr>
        <w:t>Packler</w:t>
      </w:r>
      <w:r>
        <w:rPr>
          <w:color w:val="000000"/>
        </w:rPr>
        <w:t xml:space="preserve"> family was real and without the protections of bankruptcy</w:t>
      </w:r>
      <w:r w:rsidR="008B54D4">
        <w:rPr>
          <w:color w:val="000000"/>
        </w:rPr>
        <w:t>,</w:t>
      </w:r>
      <w:r>
        <w:rPr>
          <w:color w:val="000000"/>
        </w:rPr>
        <w:t xml:space="preserve"> individual family members were at risk of substantial judgments against them. </w:t>
      </w:r>
      <w:r w:rsidR="005B0788">
        <w:rPr>
          <w:color w:val="000000"/>
        </w:rPr>
        <w:t xml:space="preserve"> </w:t>
      </w:r>
      <w:r>
        <w:rPr>
          <w:color w:val="000000"/>
        </w:rPr>
        <w:t>As explained by the UCC in the Confirmation Hearing</w:t>
      </w:r>
      <w:r w:rsidR="008B54D4">
        <w:rPr>
          <w:color w:val="000000"/>
        </w:rPr>
        <w:t>,</w:t>
      </w:r>
      <w:r>
        <w:rPr>
          <w:color w:val="000000"/>
        </w:rPr>
        <w:t xml:space="preserve"> it was estimated that “</w:t>
      </w:r>
      <w:r w:rsidR="00110F91">
        <w:rPr>
          <w:color w:val="000000"/>
        </w:rPr>
        <w:t xml:space="preserve">. . . </w:t>
      </w:r>
      <w:r>
        <w:rPr>
          <w:color w:val="000000"/>
        </w:rPr>
        <w:t xml:space="preserve">litigating against the </w:t>
      </w:r>
      <w:r w:rsidR="00E82FD6">
        <w:rPr>
          <w:color w:val="000000"/>
        </w:rPr>
        <w:t>Packler</w:t>
      </w:r>
      <w:r>
        <w:rPr>
          <w:color w:val="000000"/>
        </w:rPr>
        <w:t>s could eventually lead to a judgment or multiple judgments greater than $4.275 billion.”</w:t>
      </w:r>
      <w:r w:rsidR="005B0788">
        <w:rPr>
          <w:color w:val="000000"/>
        </w:rPr>
        <w:t xml:space="preserve"> </w:t>
      </w:r>
      <w:r>
        <w:rPr>
          <w:color w:val="000000"/>
        </w:rPr>
        <w:t xml:space="preserve"> </w:t>
      </w:r>
    </w:p>
    <w:p w14:paraId="60D1186D" w14:textId="4AFB7252" w:rsidR="00A77BBD" w:rsidRPr="00472B68" w:rsidRDefault="00A77BBD" w:rsidP="00472B68">
      <w:pPr>
        <w:pStyle w:val="Heading4"/>
        <w:keepNext/>
        <w:rPr>
          <w:u w:val="single"/>
        </w:rPr>
      </w:pPr>
      <w:r w:rsidRPr="00472B68">
        <w:rPr>
          <w:u w:val="single"/>
        </w:rPr>
        <w:t xml:space="preserve">The Renewed Lawsuits Against </w:t>
      </w:r>
      <w:r w:rsidR="006239B5">
        <w:rPr>
          <w:u w:val="single"/>
        </w:rPr>
        <w:t>Oxy</w:t>
      </w:r>
      <w:r w:rsidRPr="00472B68">
        <w:rPr>
          <w:u w:val="single"/>
        </w:rPr>
        <w:t xml:space="preserve"> and Members of the </w:t>
      </w:r>
      <w:r w:rsidR="00E82FD6">
        <w:rPr>
          <w:u w:val="single"/>
        </w:rPr>
        <w:t>Packler</w:t>
      </w:r>
      <w:r w:rsidRPr="00472B68">
        <w:rPr>
          <w:u w:val="single"/>
        </w:rPr>
        <w:t xml:space="preserve"> Family by the Individual States</w:t>
      </w:r>
    </w:p>
    <w:p w14:paraId="50A2FF1D" w14:textId="1FAA17DC" w:rsidR="00A77BBD" w:rsidRDefault="00A77BBD" w:rsidP="00A77BBD">
      <w:pPr>
        <w:pStyle w:val="BodyTextFirstIndent"/>
      </w:pPr>
      <w:r>
        <w:rPr>
          <w:color w:val="000000"/>
        </w:rPr>
        <w:t>But private litigation was far from the only game in town</w:t>
      </w:r>
      <w:r w:rsidR="006A227C">
        <w:rPr>
          <w:color w:val="000000"/>
        </w:rPr>
        <w:t xml:space="preserve">.  </w:t>
      </w:r>
      <w:r>
        <w:rPr>
          <w:color w:val="000000"/>
        </w:rPr>
        <w:t>By the middle of 2019</w:t>
      </w:r>
      <w:r w:rsidR="008B54D4">
        <w:rPr>
          <w:color w:val="000000"/>
        </w:rPr>
        <w:t>,</w:t>
      </w:r>
      <w:r>
        <w:rPr>
          <w:color w:val="000000"/>
        </w:rPr>
        <w:t xml:space="preserve"> forty- nine states</w:t>
      </w:r>
      <w:r w:rsidR="008B54D4">
        <w:rPr>
          <w:color w:val="000000"/>
        </w:rPr>
        <w:t>’</w:t>
      </w:r>
      <w:r>
        <w:rPr>
          <w:color w:val="000000"/>
        </w:rPr>
        <w:t xml:space="preserve"> Attorneys General had filed new or amended lawsuits against </w:t>
      </w:r>
      <w:r w:rsidR="006239B5">
        <w:rPr>
          <w:color w:val="000000"/>
        </w:rPr>
        <w:t>Oxy</w:t>
      </w:r>
      <w:r w:rsidR="008B54D4">
        <w:rPr>
          <w:color w:val="000000"/>
        </w:rPr>
        <w:t>,</w:t>
      </w:r>
      <w:r>
        <w:rPr>
          <w:color w:val="000000"/>
        </w:rPr>
        <w:t xml:space="preserve"> all of which named specific members of the </w:t>
      </w:r>
      <w:r w:rsidR="00E82FD6">
        <w:rPr>
          <w:color w:val="000000"/>
        </w:rPr>
        <w:t>Packler</w:t>
      </w:r>
      <w:r>
        <w:rPr>
          <w:color w:val="000000"/>
        </w:rPr>
        <w:t xml:space="preserve"> family and/or </w:t>
      </w:r>
      <w:r w:rsidR="00E82FD6">
        <w:rPr>
          <w:color w:val="000000"/>
        </w:rPr>
        <w:t>Packler</w:t>
      </w:r>
      <w:r>
        <w:rPr>
          <w:color w:val="000000"/>
        </w:rPr>
        <w:t>-related entities</w:t>
      </w:r>
      <w:r w:rsidR="006A227C">
        <w:rPr>
          <w:color w:val="000000"/>
        </w:rPr>
        <w:t xml:space="preserve">.  </w:t>
      </w:r>
      <w:r>
        <w:rPr>
          <w:color w:val="000000"/>
        </w:rPr>
        <w:t>The newly-asserted claims included claims for public nuisance</w:t>
      </w:r>
      <w:r w:rsidR="008B54D4">
        <w:rPr>
          <w:color w:val="000000"/>
        </w:rPr>
        <w:t>,</w:t>
      </w:r>
      <w:r>
        <w:rPr>
          <w:color w:val="000000"/>
        </w:rPr>
        <w:t xml:space="preserve"> fraud</w:t>
      </w:r>
      <w:r w:rsidR="008B54D4">
        <w:rPr>
          <w:color w:val="000000"/>
        </w:rPr>
        <w:t>,</w:t>
      </w:r>
      <w:r>
        <w:rPr>
          <w:color w:val="000000"/>
        </w:rPr>
        <w:t xml:space="preserve"> gross negligence</w:t>
      </w:r>
      <w:r w:rsidR="008B54D4">
        <w:rPr>
          <w:color w:val="000000"/>
        </w:rPr>
        <w:t>,</w:t>
      </w:r>
      <w:r>
        <w:rPr>
          <w:color w:val="000000"/>
        </w:rPr>
        <w:t xml:space="preserve"> willful misconduct</w:t>
      </w:r>
      <w:r w:rsidR="008B54D4">
        <w:rPr>
          <w:color w:val="000000"/>
        </w:rPr>
        <w:t>,</w:t>
      </w:r>
      <w:r>
        <w:rPr>
          <w:color w:val="000000"/>
        </w:rPr>
        <w:t xml:space="preserve"> unjust enrichment</w:t>
      </w:r>
      <w:r w:rsidR="008B54D4">
        <w:rPr>
          <w:color w:val="000000"/>
        </w:rPr>
        <w:t>,</w:t>
      </w:r>
      <w:r>
        <w:rPr>
          <w:color w:val="000000"/>
        </w:rPr>
        <w:t xml:space="preserve"> fraudulent conveyances</w:t>
      </w:r>
      <w:r w:rsidR="008B54D4">
        <w:rPr>
          <w:color w:val="000000"/>
        </w:rPr>
        <w:t>,</w:t>
      </w:r>
      <w:r>
        <w:rPr>
          <w:color w:val="000000"/>
        </w:rPr>
        <w:t xml:space="preserve"> violations of state finance laws and social services laws</w:t>
      </w:r>
      <w:r w:rsidR="008B54D4">
        <w:rPr>
          <w:color w:val="000000"/>
        </w:rPr>
        <w:t>,</w:t>
      </w:r>
      <w:r>
        <w:rPr>
          <w:color w:val="000000"/>
        </w:rPr>
        <w:t xml:space="preserve"> and “repeated and persistent” fraud and illegality</w:t>
      </w:r>
      <w:r w:rsidR="00BA3AB2">
        <w:rPr>
          <w:color w:val="000000"/>
        </w:rPr>
        <w:t>. C</w:t>
      </w:r>
      <w:r>
        <w:rPr>
          <w:color w:val="000000"/>
        </w:rPr>
        <w:t xml:space="preserve">laims </w:t>
      </w:r>
      <w:r w:rsidR="00BC48A8">
        <w:rPr>
          <w:color w:val="000000"/>
        </w:rPr>
        <w:t xml:space="preserve">were asserted </w:t>
      </w:r>
      <w:r w:rsidR="00BA3AB2">
        <w:rPr>
          <w:color w:val="000000"/>
        </w:rPr>
        <w:t xml:space="preserve">against Packler entities </w:t>
      </w:r>
      <w:r>
        <w:rPr>
          <w:color w:val="000000"/>
        </w:rPr>
        <w:t>for unjust enrichment and fraudulent conveyance</w:t>
      </w:r>
      <w:r w:rsidR="006A227C">
        <w:rPr>
          <w:color w:val="000000"/>
        </w:rPr>
        <w:t xml:space="preserve">.  </w:t>
      </w:r>
    </w:p>
    <w:p w14:paraId="1821DC7F" w14:textId="79619DBA" w:rsidR="00A77BBD" w:rsidRDefault="00A77BBD" w:rsidP="00A77BBD">
      <w:pPr>
        <w:pStyle w:val="BodyTextFirstIndent"/>
      </w:pPr>
      <w:r>
        <w:rPr>
          <w:color w:val="000000"/>
        </w:rPr>
        <w:t>The Attorneys General of all of the State</w:t>
      </w:r>
      <w:r w:rsidR="00BC48A8">
        <w:rPr>
          <w:color w:val="000000"/>
        </w:rPr>
        <w:t xml:space="preserve"> Appell</w:t>
      </w:r>
      <w:r w:rsidR="00BF5C22">
        <w:rPr>
          <w:color w:val="000000"/>
        </w:rPr>
        <w:t>ees</w:t>
      </w:r>
      <w:r>
        <w:rPr>
          <w:color w:val="000000"/>
        </w:rPr>
        <w:t xml:space="preserve"> filed or amended complaints that include a range of charges against both </w:t>
      </w:r>
      <w:r w:rsidR="006239B5">
        <w:rPr>
          <w:color w:val="000000"/>
        </w:rPr>
        <w:t>Oxy</w:t>
      </w:r>
      <w:r>
        <w:rPr>
          <w:color w:val="000000"/>
        </w:rPr>
        <w:t xml:space="preserve"> and members of the </w:t>
      </w:r>
      <w:r w:rsidR="00E82FD6">
        <w:rPr>
          <w:color w:val="000000"/>
        </w:rPr>
        <w:t>Packler</w:t>
      </w:r>
      <w:r>
        <w:rPr>
          <w:color w:val="000000"/>
        </w:rPr>
        <w:t xml:space="preserve"> family</w:t>
      </w:r>
      <w:r w:rsidR="006A227C">
        <w:rPr>
          <w:color w:val="000000"/>
        </w:rPr>
        <w:t xml:space="preserve">.  </w:t>
      </w:r>
    </w:p>
    <w:p w14:paraId="6614A942" w14:textId="189B01EC" w:rsidR="00A77BBD" w:rsidRDefault="00A77BBD" w:rsidP="00A77BBD">
      <w:pPr>
        <w:pStyle w:val="BodyTextFirstIndent"/>
      </w:pPr>
      <w:r>
        <w:rPr>
          <w:color w:val="000000"/>
        </w:rPr>
        <w:t xml:space="preserve">The State </w:t>
      </w:r>
      <w:r w:rsidR="00BC48A8">
        <w:rPr>
          <w:color w:val="000000"/>
        </w:rPr>
        <w:t>Appell</w:t>
      </w:r>
      <w:r w:rsidR="00BF5C22">
        <w:rPr>
          <w:color w:val="000000"/>
        </w:rPr>
        <w:t>ees</w:t>
      </w:r>
      <w:r w:rsidR="00270A30">
        <w:rPr>
          <w:color w:val="000000"/>
        </w:rPr>
        <w:t>’</w:t>
      </w:r>
      <w:r w:rsidR="00BC48A8">
        <w:rPr>
          <w:color w:val="000000"/>
        </w:rPr>
        <w:t xml:space="preserve"> </w:t>
      </w:r>
      <w:r>
        <w:rPr>
          <w:color w:val="000000"/>
        </w:rPr>
        <w:t>asserted claims included:</w:t>
      </w:r>
    </w:p>
    <w:p w14:paraId="41AE40DD" w14:textId="1459A1D9" w:rsidR="00A77BBD" w:rsidRDefault="00A77BBD" w:rsidP="00472B68">
      <w:pPr>
        <w:pStyle w:val="BodyTextFirstIndent"/>
        <w:spacing w:after="240" w:line="240" w:lineRule="auto"/>
        <w:ind w:left="1440" w:hanging="720"/>
      </w:pPr>
      <w:r>
        <w:rPr>
          <w:color w:val="000000"/>
        </w:rPr>
        <w:t>•</w:t>
      </w:r>
      <w:r>
        <w:rPr>
          <w:rFonts w:eastAsia="Times New Roman" w:cs="Times New Roman"/>
          <w:color w:val="000000"/>
          <w:sz w:val="22"/>
        </w:rPr>
        <w:tab/>
      </w:r>
      <w:r>
        <w:rPr>
          <w:color w:val="000000"/>
        </w:rPr>
        <w:t>fraudulent transfer</w:t>
      </w:r>
      <w:r w:rsidR="00BC48A8">
        <w:rPr>
          <w:color w:val="000000"/>
        </w:rPr>
        <w:t>;</w:t>
      </w:r>
    </w:p>
    <w:p w14:paraId="54FB29BD" w14:textId="2DF8D665" w:rsidR="00A77BBD" w:rsidRDefault="00A77BBD" w:rsidP="00472B68">
      <w:pPr>
        <w:pStyle w:val="BodyTextFirstIndent"/>
        <w:spacing w:after="240" w:line="240" w:lineRule="auto"/>
        <w:ind w:left="1440" w:hanging="720"/>
      </w:pPr>
      <w:r>
        <w:rPr>
          <w:color w:val="000000"/>
        </w:rPr>
        <w:t>•</w:t>
      </w:r>
      <w:r>
        <w:rPr>
          <w:rFonts w:eastAsia="Times New Roman" w:cs="Times New Roman"/>
          <w:color w:val="000000"/>
          <w:sz w:val="22"/>
        </w:rPr>
        <w:tab/>
      </w:r>
      <w:r>
        <w:rPr>
          <w:color w:val="000000"/>
        </w:rPr>
        <w:t>fraud and fraudulent misrepresentation</w:t>
      </w:r>
      <w:r w:rsidR="00BC48A8">
        <w:rPr>
          <w:color w:val="000000"/>
        </w:rPr>
        <w:t>;</w:t>
      </w:r>
    </w:p>
    <w:p w14:paraId="427D0E21" w14:textId="000357F5" w:rsidR="00A77BBD" w:rsidRDefault="00A77BBD" w:rsidP="00472B68">
      <w:pPr>
        <w:pStyle w:val="BodyTextFirstIndent"/>
        <w:spacing w:after="240" w:line="240" w:lineRule="auto"/>
        <w:ind w:left="1440" w:hanging="720"/>
      </w:pPr>
      <w:r>
        <w:rPr>
          <w:color w:val="000000"/>
        </w:rPr>
        <w:t>•</w:t>
      </w:r>
      <w:r>
        <w:rPr>
          <w:rFonts w:eastAsia="Times New Roman" w:cs="Times New Roman"/>
          <w:color w:val="000000"/>
          <w:sz w:val="22"/>
        </w:rPr>
        <w:tab/>
      </w:r>
      <w:r>
        <w:rPr>
          <w:color w:val="000000"/>
        </w:rPr>
        <w:t>unjust enrichment</w:t>
      </w:r>
      <w:r w:rsidR="00BC48A8">
        <w:rPr>
          <w:color w:val="000000"/>
        </w:rPr>
        <w:t>;</w:t>
      </w:r>
    </w:p>
    <w:p w14:paraId="5293D2FE" w14:textId="5AC06376" w:rsidR="00A77BBD" w:rsidRDefault="00A77BBD" w:rsidP="00472B68">
      <w:pPr>
        <w:pStyle w:val="BodyTextFirstIndent"/>
        <w:spacing w:after="240" w:line="240" w:lineRule="auto"/>
        <w:ind w:left="1440" w:hanging="720"/>
      </w:pPr>
      <w:r>
        <w:rPr>
          <w:color w:val="000000"/>
        </w:rPr>
        <w:t>•</w:t>
      </w:r>
      <w:r>
        <w:rPr>
          <w:rFonts w:eastAsia="Times New Roman" w:cs="Times New Roman"/>
          <w:color w:val="000000"/>
          <w:sz w:val="22"/>
        </w:rPr>
        <w:tab/>
      </w:r>
      <w:r>
        <w:rPr>
          <w:color w:val="000000"/>
        </w:rPr>
        <w:t>negligence</w:t>
      </w:r>
      <w:r w:rsidR="00BC48A8">
        <w:rPr>
          <w:color w:val="000000"/>
        </w:rPr>
        <w:t>;</w:t>
      </w:r>
    </w:p>
    <w:p w14:paraId="0C122D4C" w14:textId="4A36A16B" w:rsidR="00A77BBD" w:rsidRDefault="00A77BBD" w:rsidP="00472B68">
      <w:pPr>
        <w:pStyle w:val="BodyTextFirstIndent"/>
        <w:spacing w:after="240" w:line="240" w:lineRule="auto"/>
        <w:ind w:left="1440" w:hanging="720"/>
      </w:pPr>
      <w:r>
        <w:rPr>
          <w:color w:val="000000"/>
        </w:rPr>
        <w:t>•</w:t>
      </w:r>
      <w:r>
        <w:rPr>
          <w:rFonts w:eastAsia="Times New Roman" w:cs="Times New Roman"/>
          <w:color w:val="000000"/>
          <w:sz w:val="22"/>
        </w:rPr>
        <w:tab/>
      </w:r>
      <w:r>
        <w:rPr>
          <w:color w:val="000000"/>
        </w:rPr>
        <w:t>public nuisance; and</w:t>
      </w:r>
    </w:p>
    <w:p w14:paraId="306079FA" w14:textId="731FC834" w:rsidR="00A77BBD" w:rsidRDefault="00A77BBD" w:rsidP="00472B68">
      <w:pPr>
        <w:pStyle w:val="BodyTextFirstIndent"/>
        <w:spacing w:after="240" w:line="240" w:lineRule="auto"/>
        <w:ind w:left="1440" w:hanging="720"/>
      </w:pPr>
      <w:r>
        <w:rPr>
          <w:color w:val="000000"/>
        </w:rPr>
        <w:t>•</w:t>
      </w:r>
      <w:r>
        <w:rPr>
          <w:rFonts w:eastAsia="Times New Roman" w:cs="Times New Roman"/>
          <w:color w:val="000000"/>
          <w:sz w:val="22"/>
        </w:rPr>
        <w:tab/>
      </w:r>
      <w:r>
        <w:rPr>
          <w:color w:val="000000"/>
        </w:rPr>
        <w:t>violation of state consumer protection statutes by deceptive and unfair acts and practices</w:t>
      </w:r>
      <w:r w:rsidR="006A227C">
        <w:rPr>
          <w:color w:val="000000"/>
        </w:rPr>
        <w:t>.</w:t>
      </w:r>
    </w:p>
    <w:p w14:paraId="27D45C9E" w14:textId="4EAB8667" w:rsidR="00A77BBD" w:rsidRDefault="00A77BBD" w:rsidP="00A77BBD">
      <w:pPr>
        <w:pStyle w:val="BodyTextFirstIndent"/>
      </w:pPr>
      <w:r>
        <w:rPr>
          <w:color w:val="000000"/>
        </w:rPr>
        <w:t xml:space="preserve">Washington State brought an action against </w:t>
      </w:r>
      <w:r w:rsidR="006239B5">
        <w:rPr>
          <w:color w:val="000000"/>
        </w:rPr>
        <w:t>Oxy</w:t>
      </w:r>
      <w:r w:rsidR="008B54D4">
        <w:rPr>
          <w:color w:val="000000"/>
        </w:rPr>
        <w:t>,</w:t>
      </w:r>
      <w:r>
        <w:rPr>
          <w:color w:val="000000"/>
        </w:rPr>
        <w:t xml:space="preserve"> “Does 1 through 99</w:t>
      </w:r>
      <w:r w:rsidR="008B54D4">
        <w:rPr>
          <w:color w:val="000000"/>
        </w:rPr>
        <w:t>,</w:t>
      </w:r>
      <w:r>
        <w:rPr>
          <w:color w:val="000000"/>
        </w:rPr>
        <w:t>” and “Doe Corporations 1 through 99” for violating the Washington</w:t>
      </w:r>
      <w:r w:rsidR="008B54D4">
        <w:rPr>
          <w:color w:val="000000"/>
        </w:rPr>
        <w:t>’</w:t>
      </w:r>
      <w:r>
        <w:rPr>
          <w:color w:val="000000"/>
        </w:rPr>
        <w:t>s Consumer Protection Act (Wash</w:t>
      </w:r>
      <w:r w:rsidR="006A227C">
        <w:rPr>
          <w:color w:val="000000"/>
        </w:rPr>
        <w:t xml:space="preserve">. </w:t>
      </w:r>
      <w:r>
        <w:rPr>
          <w:color w:val="000000"/>
        </w:rPr>
        <w:t>Rev</w:t>
      </w:r>
      <w:r w:rsidR="006A227C">
        <w:rPr>
          <w:color w:val="000000"/>
        </w:rPr>
        <w:t xml:space="preserve">. </w:t>
      </w:r>
      <w:r>
        <w:rPr>
          <w:color w:val="000000"/>
        </w:rPr>
        <w:t>Code §19.86)</w:t>
      </w:r>
      <w:r w:rsidR="008B54D4">
        <w:rPr>
          <w:color w:val="000000"/>
        </w:rPr>
        <w:t>,</w:t>
      </w:r>
      <w:r>
        <w:rPr>
          <w:color w:val="000000"/>
        </w:rPr>
        <w:t xml:space="preserve"> for causing a public nuisance</w:t>
      </w:r>
      <w:r w:rsidR="008B54D4">
        <w:rPr>
          <w:color w:val="000000"/>
        </w:rPr>
        <w:t>,</w:t>
      </w:r>
      <w:r>
        <w:rPr>
          <w:color w:val="000000"/>
        </w:rPr>
        <w:t xml:space="preserve"> and for breaching Washington</w:t>
      </w:r>
      <w:r w:rsidR="008B54D4">
        <w:rPr>
          <w:color w:val="000000"/>
        </w:rPr>
        <w:t>’</w:t>
      </w:r>
      <w:r>
        <w:rPr>
          <w:color w:val="000000"/>
        </w:rPr>
        <w:t>s common law of negligence</w:t>
      </w:r>
      <w:r w:rsidR="006A227C">
        <w:rPr>
          <w:color w:val="000000"/>
        </w:rPr>
        <w:t xml:space="preserve">.  </w:t>
      </w:r>
      <w:r>
        <w:rPr>
          <w:color w:val="000000"/>
        </w:rPr>
        <w:t>The Complaint sought abatement</w:t>
      </w:r>
      <w:r w:rsidR="008B54D4">
        <w:rPr>
          <w:color w:val="000000"/>
        </w:rPr>
        <w:t>,</w:t>
      </w:r>
      <w:r>
        <w:rPr>
          <w:color w:val="000000"/>
        </w:rPr>
        <w:t xml:space="preserve"> restitution</w:t>
      </w:r>
      <w:r w:rsidR="008B54D4">
        <w:rPr>
          <w:color w:val="000000"/>
        </w:rPr>
        <w:t>,</w:t>
      </w:r>
      <w:r>
        <w:rPr>
          <w:color w:val="000000"/>
        </w:rPr>
        <w:t xml:space="preserve"> and statutory penalties</w:t>
      </w:r>
      <w:r w:rsidR="008B54D4">
        <w:rPr>
          <w:color w:val="000000"/>
        </w:rPr>
        <w:t>,</w:t>
      </w:r>
      <w:r>
        <w:rPr>
          <w:color w:val="000000"/>
        </w:rPr>
        <w:t xml:space="preserve"> among other relief.</w:t>
      </w:r>
    </w:p>
    <w:p w14:paraId="407809E1" w14:textId="039B3519" w:rsidR="00A77BBD" w:rsidRDefault="00A77BBD" w:rsidP="00A77BBD">
      <w:pPr>
        <w:pStyle w:val="BodyTextFirstIndent"/>
      </w:pPr>
      <w:r>
        <w:rPr>
          <w:color w:val="000000"/>
        </w:rPr>
        <w:t>Each State Appell</w:t>
      </w:r>
      <w:r w:rsidR="00BF5C22">
        <w:rPr>
          <w:color w:val="000000"/>
        </w:rPr>
        <w:t>ees</w:t>
      </w:r>
      <w:r>
        <w:rPr>
          <w:color w:val="000000"/>
        </w:rPr>
        <w:t xml:space="preserve"> filed its claims before </w:t>
      </w:r>
      <w:r w:rsidR="006239B5">
        <w:rPr>
          <w:color w:val="000000"/>
        </w:rPr>
        <w:t>Oxy</w:t>
      </w:r>
      <w:r>
        <w:rPr>
          <w:color w:val="000000"/>
        </w:rPr>
        <w:t xml:space="preserve"> filed for bankruptcy in September 2019</w:t>
      </w:r>
      <w:r w:rsidR="006A227C">
        <w:rPr>
          <w:color w:val="000000"/>
        </w:rPr>
        <w:t xml:space="preserve">.  </w:t>
      </w:r>
      <w:r>
        <w:rPr>
          <w:color w:val="000000"/>
        </w:rPr>
        <w:t xml:space="preserve">None of the cases had been litigated to judgment. </w:t>
      </w:r>
      <w:r w:rsidR="00013BBA">
        <w:rPr>
          <w:color w:val="000000"/>
        </w:rPr>
        <w:t xml:space="preserve"> </w:t>
      </w:r>
      <w:r>
        <w:rPr>
          <w:color w:val="000000"/>
        </w:rPr>
        <w:t xml:space="preserve">These cases were not subject to the automatic stay that stopped private litigation in its tracks once </w:t>
      </w:r>
      <w:r w:rsidR="006239B5">
        <w:rPr>
          <w:color w:val="000000"/>
        </w:rPr>
        <w:t>Oxy</w:t>
      </w:r>
      <w:r>
        <w:rPr>
          <w:color w:val="000000"/>
        </w:rPr>
        <w:t xml:space="preserve"> filed</w:t>
      </w:r>
      <w:r w:rsidR="008B54D4">
        <w:rPr>
          <w:color w:val="000000"/>
        </w:rPr>
        <w:t>,</w:t>
      </w:r>
      <w:r>
        <w:rPr>
          <w:color w:val="000000"/>
        </w:rPr>
        <w:t xml:space="preserve"> but the Bankruptcy Court preliminarily enjoined all litigation against </w:t>
      </w:r>
      <w:r w:rsidR="006239B5">
        <w:rPr>
          <w:color w:val="000000"/>
        </w:rPr>
        <w:t>Oxy</w:t>
      </w:r>
      <w:r>
        <w:rPr>
          <w:color w:val="000000"/>
        </w:rPr>
        <w:t xml:space="preserve"> and the </w:t>
      </w:r>
      <w:r w:rsidR="00E82FD6">
        <w:rPr>
          <w:color w:val="000000"/>
        </w:rPr>
        <w:t>Packler</w:t>
      </w:r>
      <w:r>
        <w:rPr>
          <w:color w:val="000000"/>
        </w:rPr>
        <w:t>s; that order was affirmed by this court</w:t>
      </w:r>
      <w:r w:rsidR="00BC48A8">
        <w:rPr>
          <w:color w:val="000000"/>
        </w:rPr>
        <w:t>.</w:t>
      </w:r>
      <w:r w:rsidR="006A227C">
        <w:rPr>
          <w:color w:val="000000"/>
        </w:rPr>
        <w:t xml:space="preserve">  </w:t>
      </w:r>
      <w:r>
        <w:rPr>
          <w:color w:val="000000"/>
        </w:rPr>
        <w:t>As a result</w:t>
      </w:r>
      <w:r w:rsidR="008B54D4">
        <w:rPr>
          <w:color w:val="000000"/>
        </w:rPr>
        <w:t>,</w:t>
      </w:r>
      <w:r>
        <w:rPr>
          <w:color w:val="000000"/>
        </w:rPr>
        <w:t xml:space="preserve"> no activity has taken place in any of these lawsuits since shortly after </w:t>
      </w:r>
      <w:r w:rsidR="006239B5">
        <w:rPr>
          <w:color w:val="000000"/>
        </w:rPr>
        <w:t>Oxy</w:t>
      </w:r>
      <w:r w:rsidR="008B54D4">
        <w:rPr>
          <w:color w:val="000000"/>
        </w:rPr>
        <w:t>’</w:t>
      </w:r>
      <w:r>
        <w:rPr>
          <w:color w:val="000000"/>
        </w:rPr>
        <w:t>s filing.</w:t>
      </w:r>
    </w:p>
    <w:p w14:paraId="581FD78D" w14:textId="6D82817D" w:rsidR="00A77BBD" w:rsidRPr="00615C19" w:rsidRDefault="00A77BBD" w:rsidP="00615C19">
      <w:pPr>
        <w:pStyle w:val="Heading4"/>
        <w:rPr>
          <w:u w:val="single"/>
        </w:rPr>
      </w:pPr>
      <w:r w:rsidRPr="00615C19">
        <w:rPr>
          <w:u w:val="single"/>
        </w:rPr>
        <w:t>Lawsuits in Canada</w:t>
      </w:r>
    </w:p>
    <w:p w14:paraId="589D1BC1" w14:textId="45193ECC" w:rsidR="00A77BBD" w:rsidRDefault="00A77BBD" w:rsidP="00A77BBD">
      <w:pPr>
        <w:pStyle w:val="BodyTextFirstIndent"/>
      </w:pPr>
      <w:r>
        <w:rPr>
          <w:color w:val="000000"/>
        </w:rPr>
        <w:t>In Canada</w:t>
      </w:r>
      <w:r w:rsidR="008B54D4">
        <w:rPr>
          <w:color w:val="000000"/>
        </w:rPr>
        <w:t>,</w:t>
      </w:r>
      <w:r>
        <w:rPr>
          <w:color w:val="000000"/>
        </w:rPr>
        <w:t xml:space="preserve"> a number of class actions were filed against certain of the Debtors with allegations similar to those made in the </w:t>
      </w:r>
      <w:r w:rsidR="002F10FB">
        <w:rPr>
          <w:color w:val="000000"/>
        </w:rPr>
        <w:t>U.S</w:t>
      </w:r>
      <w:r w:rsidR="00BC48A8">
        <w:rPr>
          <w:color w:val="000000"/>
        </w:rPr>
        <w:t xml:space="preserve">. </w:t>
      </w:r>
      <w:r>
        <w:rPr>
          <w:color w:val="000000"/>
        </w:rPr>
        <w:t xml:space="preserve">Prior to </w:t>
      </w:r>
      <w:r w:rsidR="006239B5">
        <w:rPr>
          <w:color w:val="000000"/>
        </w:rPr>
        <w:t>Oxy</w:t>
      </w:r>
      <w:r w:rsidR="008B54D4">
        <w:rPr>
          <w:color w:val="000000"/>
        </w:rPr>
        <w:t>’</w:t>
      </w:r>
      <w:r>
        <w:rPr>
          <w:color w:val="000000"/>
        </w:rPr>
        <w:t>s Chapter 11 filing</w:t>
      </w:r>
      <w:r w:rsidR="008B54D4">
        <w:rPr>
          <w:color w:val="000000"/>
        </w:rPr>
        <w:t>,</w:t>
      </w:r>
      <w:r>
        <w:rPr>
          <w:color w:val="000000"/>
        </w:rPr>
        <w:t xml:space="preserve"> the lead plaintiffs in ten of the Canadian class actions settled their claims for $20 million</w:t>
      </w:r>
      <w:r w:rsidR="008B54D4">
        <w:rPr>
          <w:color w:val="000000"/>
        </w:rPr>
        <w:t>,</w:t>
      </w:r>
      <w:r>
        <w:rPr>
          <w:color w:val="000000"/>
        </w:rPr>
        <w:t xml:space="preserve"> and </w:t>
      </w:r>
      <w:r w:rsidR="006239B5">
        <w:rPr>
          <w:color w:val="000000"/>
        </w:rPr>
        <w:t>Oxy</w:t>
      </w:r>
      <w:r>
        <w:rPr>
          <w:color w:val="000000"/>
        </w:rPr>
        <w:t xml:space="preserve"> Pharma (Canada) (“</w:t>
      </w:r>
      <w:r w:rsidR="006239B5">
        <w:rPr>
          <w:color w:val="000000"/>
        </w:rPr>
        <w:t>Oxy</w:t>
      </w:r>
      <w:r>
        <w:rPr>
          <w:color w:val="000000"/>
        </w:rPr>
        <w:t xml:space="preserve"> Canada”) placed that amount in trust pending approval of the settlement by the Ontario Superior Court of Justice</w:t>
      </w:r>
      <w:r w:rsidR="008B54D4">
        <w:rPr>
          <w:color w:val="000000"/>
        </w:rPr>
        <w:t>,</w:t>
      </w:r>
      <w:r>
        <w:rPr>
          <w:color w:val="000000"/>
        </w:rPr>
        <w:t xml:space="preserve"> the Superior Court of Quebec</w:t>
      </w:r>
      <w:r w:rsidR="008B54D4">
        <w:rPr>
          <w:color w:val="000000"/>
        </w:rPr>
        <w:t>,</w:t>
      </w:r>
      <w:r>
        <w:rPr>
          <w:color w:val="000000"/>
        </w:rPr>
        <w:t xml:space="preserve"> the Supreme Court of Nova Scotia and the Saskatchewan Court of Queen</w:t>
      </w:r>
      <w:r w:rsidR="008B54D4">
        <w:rPr>
          <w:color w:val="000000"/>
        </w:rPr>
        <w:t>’</w:t>
      </w:r>
      <w:r>
        <w:rPr>
          <w:color w:val="000000"/>
        </w:rPr>
        <w:t>s Bench (the “Canadian Settlement”)</w:t>
      </w:r>
      <w:r w:rsidR="006A227C">
        <w:rPr>
          <w:color w:val="000000"/>
        </w:rPr>
        <w:t xml:space="preserve">.  </w:t>
      </w:r>
      <w:r>
        <w:rPr>
          <w:color w:val="000000"/>
        </w:rPr>
        <w:t>The Canadian Settlement</w:t>
      </w:r>
      <w:r w:rsidR="008B54D4">
        <w:rPr>
          <w:color w:val="000000"/>
        </w:rPr>
        <w:t>,</w:t>
      </w:r>
      <w:r>
        <w:rPr>
          <w:color w:val="000000"/>
        </w:rPr>
        <w:t xml:space="preserve"> once approved and after funds are disbursed</w:t>
      </w:r>
      <w:r w:rsidR="008B54D4">
        <w:rPr>
          <w:color w:val="000000"/>
        </w:rPr>
        <w:t>,</w:t>
      </w:r>
      <w:r>
        <w:rPr>
          <w:color w:val="000000"/>
        </w:rPr>
        <w:t xml:space="preserve"> “completely and unconditionally released</w:t>
      </w:r>
      <w:r w:rsidR="008B54D4">
        <w:rPr>
          <w:color w:val="000000"/>
        </w:rPr>
        <w:t>,</w:t>
      </w:r>
      <w:r>
        <w:rPr>
          <w:color w:val="000000"/>
        </w:rPr>
        <w:t xml:space="preserve"> forever discharged</w:t>
      </w:r>
      <w:r w:rsidR="008B54D4">
        <w:rPr>
          <w:color w:val="000000"/>
        </w:rPr>
        <w:t>,</w:t>
      </w:r>
      <w:r>
        <w:rPr>
          <w:color w:val="000000"/>
        </w:rPr>
        <w:t xml:space="preserve"> and acquitted [the Debtors] from any and all Settled Patient Claims against the Debtors and from any other Proof of Claim or portion thereof in respect of any Settled Patient Claim filed against any Debtor.”</w:t>
      </w:r>
      <w:r w:rsidR="00013BBA">
        <w:rPr>
          <w:color w:val="000000"/>
        </w:rPr>
        <w:t xml:space="preserve"> </w:t>
      </w:r>
      <w:r>
        <w:rPr>
          <w:color w:val="000000"/>
        </w:rPr>
        <w:t xml:space="preserve"> Under the Canadian Settlement</w:t>
      </w:r>
      <w:r w:rsidR="008B54D4">
        <w:rPr>
          <w:color w:val="000000"/>
        </w:rPr>
        <w:t>,</w:t>
      </w:r>
      <w:r>
        <w:rPr>
          <w:color w:val="000000"/>
        </w:rPr>
        <w:t xml:space="preserve"> no member of the Canadian classes party to that settlement can recover from any source other than the Canadian Settlement trust</w:t>
      </w:r>
      <w:r w:rsidR="008B54D4">
        <w:rPr>
          <w:color w:val="000000"/>
        </w:rPr>
        <w:t>,</w:t>
      </w:r>
      <w:r>
        <w:rPr>
          <w:color w:val="000000"/>
        </w:rPr>
        <w:t xml:space="preserve"> and every class member in a settling class bears the burden of proving in the </w:t>
      </w:r>
      <w:r w:rsidR="002F10FB">
        <w:rPr>
          <w:color w:val="000000"/>
        </w:rPr>
        <w:t xml:space="preserve">U.S. </w:t>
      </w:r>
      <w:r>
        <w:rPr>
          <w:color w:val="000000"/>
        </w:rPr>
        <w:t>bankruptcy that its claim was not released and discharged by the Canadian Settlement</w:t>
      </w:r>
      <w:r w:rsidR="006A227C">
        <w:rPr>
          <w:color w:val="000000"/>
        </w:rPr>
        <w:t xml:space="preserve">.  </w:t>
      </w:r>
    </w:p>
    <w:p w14:paraId="1E3EABA8" w14:textId="381D9E3A" w:rsidR="00A77BBD" w:rsidRDefault="00A77BBD" w:rsidP="00A77BBD">
      <w:pPr>
        <w:pStyle w:val="BodyTextFirstIndent"/>
      </w:pPr>
      <w:r>
        <w:rPr>
          <w:color w:val="000000"/>
        </w:rPr>
        <w:t>However</w:t>
      </w:r>
      <w:r w:rsidR="008B54D4">
        <w:rPr>
          <w:color w:val="000000"/>
        </w:rPr>
        <w:t>,</w:t>
      </w:r>
      <w:r>
        <w:rPr>
          <w:color w:val="000000"/>
        </w:rPr>
        <w:t xml:space="preserve"> the Canadian Settlement did not cover the claims of the Canadian Appell</w:t>
      </w:r>
      <w:r w:rsidR="00BF5C22">
        <w:rPr>
          <w:color w:val="000000"/>
        </w:rPr>
        <w:t>ees</w:t>
      </w:r>
      <w:r w:rsidR="008B54D4">
        <w:rPr>
          <w:color w:val="000000"/>
        </w:rPr>
        <w:t>,</w:t>
      </w:r>
      <w:r>
        <w:rPr>
          <w:color w:val="000000"/>
        </w:rPr>
        <w:t xml:space="preserve"> which are Canadian municipalities and indigenous tribes</w:t>
      </w:r>
      <w:r w:rsidR="006A227C">
        <w:rPr>
          <w:color w:val="000000"/>
        </w:rPr>
        <w:t xml:space="preserve">.  </w:t>
      </w:r>
      <w:r>
        <w:rPr>
          <w:color w:val="000000"/>
        </w:rPr>
        <w:t>The</w:t>
      </w:r>
      <w:r w:rsidR="00BC48A8">
        <w:rPr>
          <w:color w:val="000000"/>
        </w:rPr>
        <w:t xml:space="preserve"> </w:t>
      </w:r>
      <w:r>
        <w:rPr>
          <w:color w:val="000000"/>
        </w:rPr>
        <w:t>Canadian Appell</w:t>
      </w:r>
      <w:r w:rsidR="00BF5C22">
        <w:rPr>
          <w:color w:val="000000"/>
        </w:rPr>
        <w:t>ee</w:t>
      </w:r>
      <w:r w:rsidR="006E23EA">
        <w:rPr>
          <w:color w:val="000000"/>
        </w:rPr>
        <w:t>s</w:t>
      </w:r>
      <w:r w:rsidR="008B54D4">
        <w:rPr>
          <w:color w:val="000000"/>
        </w:rPr>
        <w:t>’</w:t>
      </w:r>
      <w:r>
        <w:rPr>
          <w:color w:val="000000"/>
        </w:rPr>
        <w:t xml:space="preserve"> lawsuits concerned sales and distribution of </w:t>
      </w:r>
      <w:r w:rsidR="00E82FD6">
        <w:rPr>
          <w:color w:val="000000"/>
        </w:rPr>
        <w:t>Oxy</w:t>
      </w:r>
      <w:r w:rsidR="006B7515">
        <w:rPr>
          <w:color w:val="000000"/>
        </w:rPr>
        <w:t>con</w:t>
      </w:r>
      <w:r>
        <w:rPr>
          <w:color w:val="000000"/>
        </w:rPr>
        <w:t xml:space="preserve"> in Canada</w:t>
      </w:r>
      <w:r w:rsidR="008B54D4">
        <w:rPr>
          <w:color w:val="000000"/>
        </w:rPr>
        <w:t>,</w:t>
      </w:r>
      <w:r>
        <w:rPr>
          <w:color w:val="000000"/>
        </w:rPr>
        <w:t xml:space="preserve"> affecting Canadian communities</w:t>
      </w:r>
      <w:r w:rsidR="008B54D4">
        <w:rPr>
          <w:color w:val="000000"/>
        </w:rPr>
        <w:t>,</w:t>
      </w:r>
      <w:r>
        <w:rPr>
          <w:color w:val="000000"/>
        </w:rPr>
        <w:t xml:space="preserve"> by </w:t>
      </w:r>
      <w:r w:rsidR="006239B5">
        <w:rPr>
          <w:color w:val="000000"/>
        </w:rPr>
        <w:t>Oxy</w:t>
      </w:r>
      <w:r>
        <w:rPr>
          <w:color w:val="000000"/>
        </w:rPr>
        <w:t xml:space="preserve"> Canada</w:t>
      </w:r>
      <w:r w:rsidR="008B54D4">
        <w:rPr>
          <w:color w:val="000000"/>
        </w:rPr>
        <w:t>,</w:t>
      </w:r>
      <w:r>
        <w:rPr>
          <w:color w:val="000000"/>
        </w:rPr>
        <w:t xml:space="preserve"> which the Canadian Appell</w:t>
      </w:r>
      <w:r w:rsidR="00BF5C22">
        <w:rPr>
          <w:color w:val="000000"/>
        </w:rPr>
        <w:t>ees</w:t>
      </w:r>
      <w:r>
        <w:rPr>
          <w:color w:val="000000"/>
        </w:rPr>
        <w:t xml:space="preserve"> assert was controlled by </w:t>
      </w:r>
      <w:r w:rsidR="00E82FD6">
        <w:rPr>
          <w:color w:val="000000"/>
        </w:rPr>
        <w:t>Packler</w:t>
      </w:r>
      <w:r>
        <w:rPr>
          <w:color w:val="000000"/>
        </w:rPr>
        <w:t xml:space="preserve"> family members</w:t>
      </w:r>
      <w:r w:rsidR="006A227C">
        <w:rPr>
          <w:color w:val="000000"/>
        </w:rPr>
        <w:t xml:space="preserve">.  </w:t>
      </w:r>
      <w:r>
        <w:rPr>
          <w:color w:val="000000"/>
        </w:rPr>
        <w:t>The Canadian Appell</w:t>
      </w:r>
      <w:r w:rsidR="00BF5C22">
        <w:rPr>
          <w:color w:val="000000"/>
        </w:rPr>
        <w:t>ees</w:t>
      </w:r>
      <w:r w:rsidR="008B54D4">
        <w:rPr>
          <w:color w:val="000000"/>
        </w:rPr>
        <w:t>’</w:t>
      </w:r>
      <w:r>
        <w:rPr>
          <w:color w:val="000000"/>
        </w:rPr>
        <w:t xml:space="preserve"> lawsuits against </w:t>
      </w:r>
      <w:r w:rsidR="006239B5">
        <w:rPr>
          <w:color w:val="000000"/>
        </w:rPr>
        <w:t>Oxy</w:t>
      </w:r>
      <w:r>
        <w:rPr>
          <w:color w:val="000000"/>
        </w:rPr>
        <w:t xml:space="preserve"> Canada assert</w:t>
      </w:r>
      <w:r w:rsidR="008B54D4">
        <w:rPr>
          <w:color w:val="000000"/>
        </w:rPr>
        <w:t>,</w:t>
      </w:r>
      <w:r>
        <w:rPr>
          <w:color w:val="000000"/>
        </w:rPr>
        <w:t xml:space="preserve"> </w:t>
      </w:r>
      <w:r>
        <w:rPr>
          <w:i/>
          <w:iCs/>
          <w:color w:val="000000"/>
        </w:rPr>
        <w:t>inter alia</w:t>
      </w:r>
      <w:r w:rsidR="008B54D4">
        <w:rPr>
          <w:color w:val="000000"/>
        </w:rPr>
        <w:t>,</w:t>
      </w:r>
      <w:r>
        <w:rPr>
          <w:color w:val="000000"/>
        </w:rPr>
        <w:t xml:space="preserve"> claims for conspiracy</w:t>
      </w:r>
      <w:r w:rsidR="008B54D4">
        <w:rPr>
          <w:color w:val="000000"/>
        </w:rPr>
        <w:t>,</w:t>
      </w:r>
      <w:r>
        <w:rPr>
          <w:color w:val="000000"/>
        </w:rPr>
        <w:t xml:space="preserve"> public nuisance</w:t>
      </w:r>
      <w:r w:rsidR="008B54D4">
        <w:rPr>
          <w:color w:val="000000"/>
        </w:rPr>
        <w:t>,</w:t>
      </w:r>
      <w:r>
        <w:rPr>
          <w:color w:val="000000"/>
        </w:rPr>
        <w:t xml:space="preserve"> negligence</w:t>
      </w:r>
      <w:r w:rsidR="008B54D4">
        <w:rPr>
          <w:color w:val="000000"/>
        </w:rPr>
        <w:t>,</w:t>
      </w:r>
      <w:r>
        <w:rPr>
          <w:color w:val="000000"/>
        </w:rPr>
        <w:t xml:space="preserve"> fraud</w:t>
      </w:r>
      <w:r w:rsidR="008B54D4">
        <w:rPr>
          <w:color w:val="000000"/>
        </w:rPr>
        <w:t>,</w:t>
      </w:r>
      <w:r>
        <w:rPr>
          <w:color w:val="000000"/>
        </w:rPr>
        <w:t xml:space="preserve"> and unjust enrichment</w:t>
      </w:r>
      <w:r w:rsidR="006A227C">
        <w:rPr>
          <w:color w:val="000000"/>
        </w:rPr>
        <w:t xml:space="preserve">.  </w:t>
      </w:r>
      <w:r>
        <w:rPr>
          <w:color w:val="000000"/>
        </w:rPr>
        <w:t>The Canadian Appell</w:t>
      </w:r>
      <w:r w:rsidR="00BF5C22">
        <w:rPr>
          <w:color w:val="000000"/>
        </w:rPr>
        <w:t>ees</w:t>
      </w:r>
      <w:r>
        <w:rPr>
          <w:color w:val="000000"/>
        </w:rPr>
        <w:t xml:space="preserve"> also stated at oral argument that that they “were barred by the imposition of the stay and the stay-related orders” - the preliminary injunction described above - “from actually naming [certain] Competition Act claim[s] against the </w:t>
      </w:r>
      <w:r w:rsidR="00E82FD6">
        <w:rPr>
          <w:color w:val="000000"/>
        </w:rPr>
        <w:t>Packler</w:t>
      </w:r>
      <w:r>
        <w:rPr>
          <w:color w:val="000000"/>
        </w:rPr>
        <w:t>s and the [Shareholder Released Parties]</w:t>
      </w:r>
      <w:r w:rsidR="008B54D4">
        <w:rPr>
          <w:color w:val="000000"/>
        </w:rPr>
        <w:t>,</w:t>
      </w:r>
      <w:r>
        <w:rPr>
          <w:color w:val="000000"/>
        </w:rPr>
        <w:t>” which they would assert if given the opportunity</w:t>
      </w:r>
      <w:r w:rsidR="006A227C">
        <w:rPr>
          <w:color w:val="000000"/>
        </w:rPr>
        <w:t xml:space="preserve">.  </w:t>
      </w:r>
    </w:p>
    <w:p w14:paraId="654C1F20" w14:textId="634BF8B3" w:rsidR="00A77BBD" w:rsidRDefault="00A77BBD" w:rsidP="00A77BBD">
      <w:pPr>
        <w:pStyle w:val="BodyTextFirstIndent"/>
      </w:pPr>
      <w:r>
        <w:rPr>
          <w:color w:val="000000"/>
        </w:rPr>
        <w:t>The Canadian Appell</w:t>
      </w:r>
      <w:r w:rsidR="00BF5C22">
        <w:rPr>
          <w:color w:val="000000"/>
        </w:rPr>
        <w:t>ees</w:t>
      </w:r>
      <w:r>
        <w:rPr>
          <w:color w:val="000000"/>
        </w:rPr>
        <w:t xml:space="preserve"> do not include the Canadian federal government or any Canadian province - all of whom seem to be content with the fact that the Plan excludes claims against </w:t>
      </w:r>
      <w:r w:rsidR="006239B5">
        <w:rPr>
          <w:color w:val="000000"/>
        </w:rPr>
        <w:t>Oxy</w:t>
      </w:r>
      <w:r>
        <w:rPr>
          <w:color w:val="000000"/>
        </w:rPr>
        <w:t xml:space="preserve"> Canada</w:t>
      </w:r>
      <w:r w:rsidR="006A227C">
        <w:rPr>
          <w:color w:val="000000"/>
        </w:rPr>
        <w:t xml:space="preserve">.  </w:t>
      </w:r>
      <w:r>
        <w:rPr>
          <w:color w:val="000000"/>
        </w:rPr>
        <w:t>Indeed</w:t>
      </w:r>
      <w:r w:rsidR="008B54D4">
        <w:rPr>
          <w:color w:val="000000"/>
        </w:rPr>
        <w:t>,</w:t>
      </w:r>
      <w:r>
        <w:rPr>
          <w:color w:val="000000"/>
        </w:rPr>
        <w:t xml:space="preserve"> the ten Canadian provinces for their part seem to believe their claims are excluded and have decided to pursue their claims in Canada instead</w:t>
      </w:r>
      <w:r w:rsidR="006A227C">
        <w:rPr>
          <w:color w:val="000000"/>
        </w:rPr>
        <w:t xml:space="preserve">.  </w:t>
      </w:r>
      <w:r>
        <w:rPr>
          <w:color w:val="000000"/>
        </w:rPr>
        <w:t>For example</w:t>
      </w:r>
      <w:r w:rsidR="008B54D4">
        <w:rPr>
          <w:color w:val="000000"/>
        </w:rPr>
        <w:t>,</w:t>
      </w:r>
      <w:r>
        <w:rPr>
          <w:color w:val="000000"/>
        </w:rPr>
        <w:t xml:space="preserve"> in press on the topic</w:t>
      </w:r>
      <w:r w:rsidR="008B54D4">
        <w:rPr>
          <w:color w:val="000000"/>
        </w:rPr>
        <w:t>,</w:t>
      </w:r>
      <w:r>
        <w:rPr>
          <w:color w:val="000000"/>
        </w:rPr>
        <w:t xml:space="preserve"> Reidar Mogerman</w:t>
      </w:r>
      <w:r w:rsidR="008B54D4">
        <w:rPr>
          <w:color w:val="000000"/>
        </w:rPr>
        <w:t>,</w:t>
      </w:r>
      <w:r>
        <w:rPr>
          <w:color w:val="000000"/>
        </w:rPr>
        <w:t xml:space="preserve"> counsel for the British Columbia government</w:t>
      </w:r>
      <w:r w:rsidR="008B54D4">
        <w:rPr>
          <w:color w:val="000000"/>
        </w:rPr>
        <w:t>,</w:t>
      </w:r>
      <w:r>
        <w:rPr>
          <w:color w:val="000000"/>
        </w:rPr>
        <w:t xml:space="preserve"> explained that the provinces gave up their claims (worth US$67.4 billion) before the Bankruptcy Court in the </w:t>
      </w:r>
      <w:r w:rsidR="002F10FB">
        <w:rPr>
          <w:color w:val="000000"/>
        </w:rPr>
        <w:t xml:space="preserve">U.S. </w:t>
      </w:r>
      <w:r>
        <w:rPr>
          <w:color w:val="000000"/>
        </w:rPr>
        <w:t xml:space="preserve">to protect lawsuits they filed against </w:t>
      </w:r>
      <w:r w:rsidR="006239B5">
        <w:rPr>
          <w:color w:val="000000"/>
        </w:rPr>
        <w:t>Oxy</w:t>
      </w:r>
      <w:r w:rsidR="008B54D4">
        <w:rPr>
          <w:color w:val="000000"/>
        </w:rPr>
        <w:t>’</w:t>
      </w:r>
      <w:r>
        <w:rPr>
          <w:color w:val="000000"/>
        </w:rPr>
        <w:t>s Canadian entities.</w:t>
      </w:r>
      <w:r>
        <w:rPr>
          <w:rStyle w:val="FootnoteReference"/>
          <w:rFonts w:eastAsia="Times New Roman" w:cs="Times New Roman"/>
          <w:color w:val="000000"/>
          <w:vertAlign w:val="superscript"/>
        </w:rPr>
        <w:footnoteReference w:id="12"/>
      </w:r>
      <w:r>
        <w:rPr>
          <w:color w:val="000000"/>
        </w:rPr>
        <w:t xml:space="preserve"> </w:t>
      </w:r>
      <w:r w:rsidR="00013BBA">
        <w:rPr>
          <w:color w:val="000000"/>
        </w:rPr>
        <w:t xml:space="preserve"> </w:t>
      </w:r>
      <w:r>
        <w:rPr>
          <w:color w:val="000000"/>
        </w:rPr>
        <w:t>“We didn</w:t>
      </w:r>
      <w:r w:rsidR="008B54D4">
        <w:rPr>
          <w:color w:val="000000"/>
        </w:rPr>
        <w:t>’</w:t>
      </w:r>
      <w:r>
        <w:rPr>
          <w:color w:val="000000"/>
        </w:rPr>
        <w:t xml:space="preserve">t want to get swallowed in competition with the </w:t>
      </w:r>
      <w:r w:rsidR="002F10FB">
        <w:rPr>
          <w:color w:val="000000"/>
        </w:rPr>
        <w:t xml:space="preserve">U.S. </w:t>
      </w:r>
      <w:r>
        <w:rPr>
          <w:color w:val="000000"/>
        </w:rPr>
        <w:t>claims and lose our Canadian claims</w:t>
      </w:r>
      <w:r w:rsidR="008B54D4">
        <w:rPr>
          <w:color w:val="000000"/>
        </w:rPr>
        <w:t>,</w:t>
      </w:r>
      <w:r>
        <w:rPr>
          <w:color w:val="000000"/>
        </w:rPr>
        <w:t>” he explained to the press</w:t>
      </w:r>
      <w:r w:rsidR="006A227C">
        <w:rPr>
          <w:color w:val="000000"/>
        </w:rPr>
        <w:t xml:space="preserve">.  </w:t>
      </w:r>
      <w:r w:rsidR="00FD7892">
        <w:rPr>
          <w:i/>
          <w:iCs/>
          <w:color w:val="000000"/>
        </w:rPr>
        <w:t xml:space="preserve">Id. </w:t>
      </w:r>
      <w:r w:rsidR="005B0788">
        <w:rPr>
          <w:i/>
          <w:iCs/>
          <w:color w:val="000000"/>
        </w:rPr>
        <w:t xml:space="preserve">  </w:t>
      </w:r>
      <w:r>
        <w:rPr>
          <w:color w:val="000000"/>
        </w:rPr>
        <w:t>To date</w:t>
      </w:r>
      <w:r w:rsidR="008B54D4">
        <w:rPr>
          <w:color w:val="000000"/>
        </w:rPr>
        <w:t>,</w:t>
      </w:r>
      <w:r>
        <w:rPr>
          <w:color w:val="000000"/>
        </w:rPr>
        <w:t xml:space="preserve"> in Canada</w:t>
      </w:r>
      <w:r w:rsidR="008B54D4">
        <w:rPr>
          <w:color w:val="000000"/>
        </w:rPr>
        <w:t>,</w:t>
      </w:r>
      <w:r>
        <w:rPr>
          <w:color w:val="000000"/>
        </w:rPr>
        <w:t xml:space="preserve"> the various Canadian provinces have asked the Ontario Superior Court of Justice to </w:t>
      </w:r>
      <w:r w:rsidR="003B7D4B">
        <w:rPr>
          <w:color w:val="000000"/>
        </w:rPr>
        <w:t>Cantin</w:t>
      </w:r>
      <w:r>
        <w:rPr>
          <w:color w:val="000000"/>
        </w:rPr>
        <w:t xml:space="preserve">ue to pursue their separate class actions against </w:t>
      </w:r>
      <w:r w:rsidR="006239B5">
        <w:rPr>
          <w:color w:val="000000"/>
        </w:rPr>
        <w:t>Oxy</w:t>
      </w:r>
      <w:r>
        <w:rPr>
          <w:color w:val="000000"/>
        </w:rPr>
        <w:t xml:space="preserve"> Canada</w:t>
      </w:r>
      <w:r w:rsidR="006A227C">
        <w:rPr>
          <w:color w:val="000000"/>
        </w:rPr>
        <w:t xml:space="preserve">.  </w:t>
      </w:r>
    </w:p>
    <w:p w14:paraId="3452F953" w14:textId="16DE92D0" w:rsidR="00A77BBD" w:rsidRDefault="00A77BBD" w:rsidP="00E4309D">
      <w:pPr>
        <w:pStyle w:val="Heading2"/>
      </w:pPr>
      <w:r>
        <w:t xml:space="preserve">Members of The </w:t>
      </w:r>
      <w:r w:rsidR="00E82FD6">
        <w:t>Packler</w:t>
      </w:r>
      <w:r>
        <w:t xml:space="preserve"> Family Insulate Themselves Against Creditors</w:t>
      </w:r>
    </w:p>
    <w:p w14:paraId="6E33B1CD" w14:textId="6D46ACF3" w:rsidR="00A77BBD" w:rsidRDefault="00A77BBD" w:rsidP="00A77BBD">
      <w:pPr>
        <w:pStyle w:val="BodyTextFirstIndent"/>
      </w:pPr>
      <w:r>
        <w:rPr>
          <w:color w:val="000000"/>
        </w:rPr>
        <w:t xml:space="preserve">As Judge </w:t>
      </w:r>
      <w:r w:rsidR="00E82FD6">
        <w:rPr>
          <w:color w:val="000000"/>
        </w:rPr>
        <w:t>Wains</w:t>
      </w:r>
      <w:r>
        <w:rPr>
          <w:color w:val="000000"/>
        </w:rPr>
        <w:t xml:space="preserve"> found</w:t>
      </w:r>
      <w:r w:rsidR="008B54D4">
        <w:rPr>
          <w:color w:val="000000"/>
        </w:rPr>
        <w:t>,</w:t>
      </w:r>
      <w:r>
        <w:rPr>
          <w:color w:val="000000"/>
        </w:rPr>
        <w:t xml:space="preserve"> the evidence indicates members of the </w:t>
      </w:r>
      <w:r w:rsidR="00E82FD6">
        <w:rPr>
          <w:color w:val="000000"/>
        </w:rPr>
        <w:t>Packler</w:t>
      </w:r>
      <w:r>
        <w:rPr>
          <w:color w:val="000000"/>
        </w:rPr>
        <w:t xml:space="preserve"> family distributed significant sums of </w:t>
      </w:r>
      <w:r w:rsidR="006239B5">
        <w:rPr>
          <w:color w:val="000000"/>
        </w:rPr>
        <w:t>Oxy</w:t>
      </w:r>
      <w:r>
        <w:rPr>
          <w:color w:val="000000"/>
        </w:rPr>
        <w:t xml:space="preserve"> money to themselves in the years 2008-2016</w:t>
      </w:r>
      <w:r w:rsidR="008B54D4">
        <w:rPr>
          <w:color w:val="000000"/>
        </w:rPr>
        <w:t>,</w:t>
      </w:r>
      <w:r>
        <w:rPr>
          <w:color w:val="000000"/>
        </w:rPr>
        <w:t xml:space="preserve"> during which time those </w:t>
      </w:r>
      <w:r w:rsidR="00E82FD6">
        <w:rPr>
          <w:color w:val="000000"/>
        </w:rPr>
        <w:t>Packler</w:t>
      </w:r>
      <w:r>
        <w:rPr>
          <w:color w:val="000000"/>
        </w:rPr>
        <w:t xml:space="preserve"> family members were closely involved in the operations of </w:t>
      </w:r>
      <w:r w:rsidR="006239B5">
        <w:rPr>
          <w:color w:val="000000"/>
        </w:rPr>
        <w:t>Oxy</w:t>
      </w:r>
      <w:r>
        <w:rPr>
          <w:color w:val="000000"/>
        </w:rPr>
        <w:t xml:space="preserve"> and aware of the opioid crisis and the litigation risk</w:t>
      </w:r>
      <w:r w:rsidR="006A227C">
        <w:rPr>
          <w:color w:val="000000"/>
        </w:rPr>
        <w:t xml:space="preserve">.  </w:t>
      </w:r>
      <w:r>
        <w:rPr>
          <w:color w:val="000000"/>
        </w:rPr>
        <w:t>As detailed below</w:t>
      </w:r>
      <w:r w:rsidR="008B54D4">
        <w:rPr>
          <w:color w:val="000000"/>
        </w:rPr>
        <w:t>,</w:t>
      </w:r>
      <w:r>
        <w:rPr>
          <w:color w:val="000000"/>
        </w:rPr>
        <w:t xml:space="preserve"> this “aggressive” (to use R</w:t>
      </w:r>
      <w:r w:rsidR="00473ECA">
        <w:rPr>
          <w:color w:val="000000"/>
        </w:rPr>
        <w:t>on</w:t>
      </w:r>
      <w:r>
        <w:rPr>
          <w:color w:val="000000"/>
        </w:rPr>
        <w:t xml:space="preserve"> </w:t>
      </w:r>
      <w:r w:rsidR="00E82FD6">
        <w:rPr>
          <w:color w:val="000000"/>
        </w:rPr>
        <w:t>Packler</w:t>
      </w:r>
      <w:r w:rsidR="008B54D4">
        <w:rPr>
          <w:color w:val="000000"/>
        </w:rPr>
        <w:t>’</w:t>
      </w:r>
      <w:r>
        <w:rPr>
          <w:color w:val="000000"/>
        </w:rPr>
        <w:t>s word) pattern of distribution of earnings to shareholders represented a sharp departure from prior practice in two ways.</w:t>
      </w:r>
    </w:p>
    <w:p w14:paraId="5038FEB5" w14:textId="7DC9AC88" w:rsidR="00A77BBD" w:rsidRDefault="00A77BBD" w:rsidP="00A77BBD">
      <w:pPr>
        <w:pStyle w:val="BodyTextFirstIndent"/>
      </w:pPr>
      <w:r>
        <w:rPr>
          <w:color w:val="000000"/>
        </w:rPr>
        <w:t>First</w:t>
      </w:r>
      <w:r w:rsidR="008B54D4">
        <w:rPr>
          <w:color w:val="000000"/>
        </w:rPr>
        <w:t>,</w:t>
      </w:r>
      <w:r>
        <w:rPr>
          <w:color w:val="000000"/>
        </w:rPr>
        <w:t xml:space="preserve"> during the period 1996-2007</w:t>
      </w:r>
      <w:r w:rsidR="008B54D4">
        <w:rPr>
          <w:color w:val="000000"/>
        </w:rPr>
        <w:t>,</w:t>
      </w:r>
      <w:r>
        <w:rPr>
          <w:color w:val="000000"/>
        </w:rPr>
        <w:t xml:space="preserve"> </w:t>
      </w:r>
      <w:r w:rsidR="006239B5">
        <w:rPr>
          <w:color w:val="000000"/>
        </w:rPr>
        <w:t>Oxy</w:t>
      </w:r>
      <w:r>
        <w:rPr>
          <w:color w:val="000000"/>
        </w:rPr>
        <w:t xml:space="preserve"> up-streamed on average 9% of its revenue per year to the </w:t>
      </w:r>
      <w:r w:rsidR="00E82FD6">
        <w:rPr>
          <w:color w:val="000000"/>
        </w:rPr>
        <w:t>Packler</w:t>
      </w:r>
      <w:r>
        <w:rPr>
          <w:color w:val="000000"/>
        </w:rPr>
        <w:t>s; but during the period 2008-2016</w:t>
      </w:r>
      <w:r w:rsidR="008B54D4">
        <w:rPr>
          <w:color w:val="000000"/>
        </w:rPr>
        <w:t>,</w:t>
      </w:r>
      <w:r>
        <w:rPr>
          <w:color w:val="000000"/>
        </w:rPr>
        <w:t xml:space="preserve"> </w:t>
      </w:r>
      <w:r w:rsidR="006239B5">
        <w:rPr>
          <w:color w:val="000000"/>
        </w:rPr>
        <w:t>Oxy</w:t>
      </w:r>
      <w:r>
        <w:rPr>
          <w:color w:val="000000"/>
        </w:rPr>
        <w:t xml:space="preserve"> up-streamed on average 53%</w:t>
      </w:r>
      <w:r w:rsidR="008B54D4">
        <w:rPr>
          <w:color w:val="000000"/>
        </w:rPr>
        <w:t>,</w:t>
      </w:r>
      <w:r>
        <w:rPr>
          <w:color w:val="000000"/>
        </w:rPr>
        <w:t xml:space="preserve"> and as much as 70%</w:t>
      </w:r>
      <w:r w:rsidR="008B54D4">
        <w:rPr>
          <w:color w:val="000000"/>
        </w:rPr>
        <w:t>,</w:t>
      </w:r>
      <w:r>
        <w:rPr>
          <w:color w:val="000000"/>
        </w:rPr>
        <w:t xml:space="preserve"> of its revenue to the </w:t>
      </w:r>
      <w:r w:rsidR="00E82FD6">
        <w:rPr>
          <w:color w:val="000000"/>
        </w:rPr>
        <w:t>Packler</w:t>
      </w:r>
      <w:r>
        <w:rPr>
          <w:color w:val="000000"/>
        </w:rPr>
        <w:t>s</w:t>
      </w:r>
      <w:r w:rsidR="006A227C">
        <w:rPr>
          <w:color w:val="000000"/>
        </w:rPr>
        <w:t xml:space="preserve">.  </w:t>
      </w:r>
    </w:p>
    <w:p w14:paraId="35903BB3" w14:textId="3CECE03B" w:rsidR="00A77BBD" w:rsidRDefault="00A77BBD" w:rsidP="00A77BBD">
      <w:pPr>
        <w:pStyle w:val="BodyTextFirstIndent"/>
      </w:pPr>
      <w:r>
        <w:rPr>
          <w:color w:val="000000"/>
        </w:rPr>
        <w:t>Second</w:t>
      </w:r>
      <w:r w:rsidR="008B54D4">
        <w:rPr>
          <w:color w:val="000000"/>
        </w:rPr>
        <w:t>,</w:t>
      </w:r>
      <w:r>
        <w:rPr>
          <w:color w:val="000000"/>
        </w:rPr>
        <w:t xml:space="preserve"> during the earlier period (1996-2007)</w:t>
      </w:r>
      <w:r w:rsidR="008B54D4">
        <w:rPr>
          <w:color w:val="000000"/>
        </w:rPr>
        <w:t>,</w:t>
      </w:r>
      <w:r>
        <w:rPr>
          <w:color w:val="000000"/>
        </w:rPr>
        <w:t xml:space="preserve"> the </w:t>
      </w:r>
      <w:r w:rsidR="00E82FD6">
        <w:rPr>
          <w:color w:val="000000"/>
        </w:rPr>
        <w:t>Packler</w:t>
      </w:r>
      <w:r>
        <w:rPr>
          <w:color w:val="000000"/>
        </w:rPr>
        <w:t xml:space="preserve">s kept less than 10% of the money that was distributed by </w:t>
      </w:r>
      <w:r w:rsidR="006239B5">
        <w:rPr>
          <w:color w:val="000000"/>
        </w:rPr>
        <w:t>Oxy</w:t>
      </w:r>
      <w:r>
        <w:rPr>
          <w:color w:val="000000"/>
        </w:rPr>
        <w:t xml:space="preserve"> for themselves</w:t>
      </w:r>
      <w:r w:rsidR="008B54D4">
        <w:rPr>
          <w:color w:val="000000"/>
        </w:rPr>
        <w:t>,</w:t>
      </w:r>
      <w:r>
        <w:rPr>
          <w:color w:val="000000"/>
        </w:rPr>
        <w:t xml:space="preserve"> while using over 90% of those distributions to pay taxes on </w:t>
      </w:r>
      <w:r w:rsidR="006239B5">
        <w:rPr>
          <w:color w:val="000000"/>
        </w:rPr>
        <w:t>Oxy</w:t>
      </w:r>
      <w:r w:rsidR="008B54D4">
        <w:rPr>
          <w:color w:val="000000"/>
        </w:rPr>
        <w:t>’</w:t>
      </w:r>
      <w:r>
        <w:rPr>
          <w:color w:val="000000"/>
        </w:rPr>
        <w:t>s earnings; but during the years between 2008-2016</w:t>
      </w:r>
      <w:r w:rsidR="008B54D4">
        <w:rPr>
          <w:color w:val="000000"/>
        </w:rPr>
        <w:t>,</w:t>
      </w:r>
      <w:r>
        <w:rPr>
          <w:color w:val="000000"/>
        </w:rPr>
        <w:t xml:space="preserve"> the </w:t>
      </w:r>
      <w:r w:rsidR="00E82FD6">
        <w:rPr>
          <w:color w:val="000000"/>
        </w:rPr>
        <w:t>Packler</w:t>
      </w:r>
      <w:r>
        <w:rPr>
          <w:color w:val="000000"/>
        </w:rPr>
        <w:t>s retained</w:t>
      </w:r>
      <w:r w:rsidR="008B54D4">
        <w:rPr>
          <w:color w:val="000000"/>
        </w:rPr>
        <w:t>,</w:t>
      </w:r>
      <w:r>
        <w:rPr>
          <w:color w:val="000000"/>
        </w:rPr>
        <w:t xml:space="preserve"> in one form or another</w:t>
      </w:r>
      <w:r w:rsidR="008B54D4">
        <w:rPr>
          <w:color w:val="000000"/>
        </w:rPr>
        <w:t>,</w:t>
      </w:r>
      <w:r>
        <w:rPr>
          <w:color w:val="000000"/>
        </w:rPr>
        <w:t xml:space="preserve"> 56% of those distributed earnings</w:t>
      </w:r>
      <w:r w:rsidR="008B54D4">
        <w:rPr>
          <w:color w:val="000000"/>
        </w:rPr>
        <w:t>,</w:t>
      </w:r>
      <w:r>
        <w:rPr>
          <w:color w:val="000000"/>
        </w:rPr>
        <w:t xml:space="preserve"> while using just 44% to pay taxes</w:t>
      </w:r>
      <w:r w:rsidR="006A227C">
        <w:rPr>
          <w:color w:val="000000"/>
        </w:rPr>
        <w:t xml:space="preserve">.  </w:t>
      </w:r>
    </w:p>
    <w:p w14:paraId="794F029D" w14:textId="666316F7" w:rsidR="00A77BBD" w:rsidRDefault="00A77BBD" w:rsidP="00A77BBD">
      <w:pPr>
        <w:pStyle w:val="BodyTextFirstIndent"/>
      </w:pPr>
      <w:r>
        <w:rPr>
          <w:color w:val="000000"/>
        </w:rPr>
        <w:t xml:space="preserve">The 2008-2016 distributions to shareholders also contrasted with the practices of </w:t>
      </w:r>
      <w:r w:rsidR="006239B5">
        <w:rPr>
          <w:color w:val="000000"/>
        </w:rPr>
        <w:t>Oxy</w:t>
      </w:r>
      <w:r w:rsidR="008B54D4">
        <w:rPr>
          <w:color w:val="000000"/>
        </w:rPr>
        <w:t>’</w:t>
      </w:r>
      <w:r>
        <w:rPr>
          <w:color w:val="000000"/>
        </w:rPr>
        <w:t>s peer pharmaceutical companies</w:t>
      </w:r>
      <w:r w:rsidR="006A227C">
        <w:rPr>
          <w:color w:val="000000"/>
        </w:rPr>
        <w:t xml:space="preserve">.  </w:t>
      </w:r>
    </w:p>
    <w:p w14:paraId="672430E7" w14:textId="5B7F3A86" w:rsidR="00A77BBD" w:rsidRDefault="00A77BBD" w:rsidP="00A77BBD">
      <w:pPr>
        <w:pStyle w:val="BodyTextFirstIndent"/>
      </w:pPr>
      <w:r>
        <w:rPr>
          <w:color w:val="000000"/>
        </w:rPr>
        <w:t xml:space="preserve">According to the </w:t>
      </w:r>
      <w:r w:rsidR="00E82FD6">
        <w:rPr>
          <w:color w:val="000000"/>
        </w:rPr>
        <w:t>Packler</w:t>
      </w:r>
      <w:r>
        <w:rPr>
          <w:color w:val="000000"/>
        </w:rPr>
        <w:t>s</w:t>
      </w:r>
      <w:r w:rsidR="008B54D4">
        <w:rPr>
          <w:color w:val="000000"/>
        </w:rPr>
        <w:t>’</w:t>
      </w:r>
      <w:r>
        <w:rPr>
          <w:color w:val="000000"/>
        </w:rPr>
        <w:t xml:space="preserve"> own expert</w:t>
      </w:r>
      <w:r w:rsidR="008B54D4">
        <w:rPr>
          <w:color w:val="000000"/>
        </w:rPr>
        <w:t>,</w:t>
      </w:r>
      <w:r>
        <w:rPr>
          <w:color w:val="000000"/>
        </w:rPr>
        <w:t xml:space="preserve"> this pattern of upstreaming corporate earnings substantially depleted </w:t>
      </w:r>
      <w:r w:rsidR="006239B5">
        <w:rPr>
          <w:color w:val="000000"/>
        </w:rPr>
        <w:t>Oxy</w:t>
      </w:r>
      <w:r w:rsidR="008B54D4">
        <w:rPr>
          <w:color w:val="000000"/>
        </w:rPr>
        <w:t>’</w:t>
      </w:r>
      <w:r>
        <w:rPr>
          <w:color w:val="000000"/>
        </w:rPr>
        <w:t>s treasury during that eight-year period</w:t>
      </w:r>
      <w:r w:rsidR="006A227C">
        <w:rPr>
          <w:color w:val="000000"/>
        </w:rPr>
        <w:t xml:space="preserve">.  </w:t>
      </w:r>
    </w:p>
    <w:p w14:paraId="0E440F6D" w14:textId="446E0942" w:rsidR="00E4309D" w:rsidRDefault="00A77BBD" w:rsidP="00E4309D">
      <w:pPr>
        <w:pStyle w:val="Heading3"/>
      </w:pPr>
      <w:r>
        <w:t xml:space="preserve">The </w:t>
      </w:r>
      <w:r w:rsidR="00E82FD6">
        <w:t>Packler</w:t>
      </w:r>
      <w:r>
        <w:t xml:space="preserve">s Cause the Transfer of Billions of Dollars from </w:t>
      </w:r>
      <w:r w:rsidR="006239B5">
        <w:t>Oxy</w:t>
      </w:r>
      <w:r>
        <w:t xml:space="preserve"> to Themselves</w:t>
      </w:r>
    </w:p>
    <w:p w14:paraId="7274EF19" w14:textId="49CAFF01" w:rsidR="00A77BBD" w:rsidRDefault="00A77BBD" w:rsidP="00A77BBD">
      <w:pPr>
        <w:pStyle w:val="BodyTextFirstIndent"/>
      </w:pPr>
      <w:r>
        <w:rPr>
          <w:color w:val="000000"/>
        </w:rPr>
        <w:t>In March 2007</w:t>
      </w:r>
      <w:r w:rsidR="008B54D4">
        <w:rPr>
          <w:color w:val="000000"/>
        </w:rPr>
        <w:t>,</w:t>
      </w:r>
      <w:r>
        <w:rPr>
          <w:color w:val="000000"/>
        </w:rPr>
        <w:t xml:space="preserve"> </w:t>
      </w:r>
      <w:r w:rsidR="00473ECA">
        <w:rPr>
          <w:color w:val="000000"/>
        </w:rPr>
        <w:t>Ron</w:t>
      </w:r>
      <w:r w:rsidR="008B54D4">
        <w:rPr>
          <w:color w:val="000000"/>
        </w:rPr>
        <w:t>,</w:t>
      </w:r>
      <w:r>
        <w:rPr>
          <w:color w:val="000000"/>
        </w:rPr>
        <w:t xml:space="preserve"> </w:t>
      </w:r>
      <w:r w:rsidR="00F9715F">
        <w:rPr>
          <w:color w:val="000000"/>
        </w:rPr>
        <w:t>Jon</w:t>
      </w:r>
      <w:r w:rsidR="008B54D4">
        <w:rPr>
          <w:color w:val="000000"/>
        </w:rPr>
        <w:t>,</w:t>
      </w:r>
      <w:r>
        <w:rPr>
          <w:color w:val="000000"/>
        </w:rPr>
        <w:t xml:space="preserve"> Kathe</w:t>
      </w:r>
      <w:r w:rsidR="008B54D4">
        <w:rPr>
          <w:color w:val="000000"/>
        </w:rPr>
        <w:t>,</w:t>
      </w:r>
      <w:r>
        <w:rPr>
          <w:color w:val="000000"/>
        </w:rPr>
        <w:t xml:space="preserve"> and </w:t>
      </w:r>
      <w:r w:rsidR="006E3B83">
        <w:rPr>
          <w:color w:val="000000"/>
        </w:rPr>
        <w:t>Fred</w:t>
      </w:r>
      <w:r>
        <w:rPr>
          <w:color w:val="000000"/>
        </w:rPr>
        <w:t xml:space="preserve"> </w:t>
      </w:r>
      <w:r w:rsidR="00E82FD6">
        <w:rPr>
          <w:color w:val="000000"/>
        </w:rPr>
        <w:t>Packler</w:t>
      </w:r>
      <w:r>
        <w:rPr>
          <w:color w:val="000000"/>
        </w:rPr>
        <w:t xml:space="preserve"> exchanged emails noting that the “future course [for the business] is uncertain” and identified the “emergence of numerous new lawsuits” as a “risk[] </w:t>
      </w:r>
      <w:r w:rsidR="00110F91">
        <w:rPr>
          <w:color w:val="000000"/>
        </w:rPr>
        <w:t xml:space="preserve">. . . </w:t>
      </w:r>
      <w:r>
        <w:rPr>
          <w:color w:val="000000"/>
        </w:rPr>
        <w:t>we</w:t>
      </w:r>
      <w:r w:rsidR="008B54D4">
        <w:rPr>
          <w:color w:val="000000"/>
        </w:rPr>
        <w:t>’</w:t>
      </w:r>
      <w:r>
        <w:rPr>
          <w:color w:val="000000"/>
        </w:rPr>
        <w:t>re not really braced for</w:t>
      </w:r>
      <w:r w:rsidR="00FA79C1">
        <w:rPr>
          <w:color w:val="000000"/>
        </w:rPr>
        <w:t xml:space="preserve">.”  </w:t>
      </w:r>
      <w:r>
        <w:rPr>
          <w:color w:val="000000"/>
        </w:rPr>
        <w:t>Just a few months later</w:t>
      </w:r>
      <w:r w:rsidR="008B54D4">
        <w:rPr>
          <w:color w:val="000000"/>
        </w:rPr>
        <w:t>,</w:t>
      </w:r>
      <w:r>
        <w:rPr>
          <w:color w:val="000000"/>
        </w:rPr>
        <w:t xml:space="preserve"> in May</w:t>
      </w:r>
      <w:r w:rsidR="008B54D4">
        <w:rPr>
          <w:color w:val="000000"/>
        </w:rPr>
        <w:t>,</w:t>
      </w:r>
      <w:r>
        <w:rPr>
          <w:color w:val="000000"/>
        </w:rPr>
        <w:t xml:space="preserve"> shortly after the 2007 guilty plea and settlement</w:t>
      </w:r>
      <w:r w:rsidR="008B54D4">
        <w:rPr>
          <w:color w:val="000000"/>
        </w:rPr>
        <w:t>,</w:t>
      </w:r>
      <w:r>
        <w:rPr>
          <w:color w:val="000000"/>
        </w:rPr>
        <w:t xml:space="preserve"> David </w:t>
      </w:r>
      <w:r w:rsidR="00E82FD6">
        <w:rPr>
          <w:color w:val="000000"/>
        </w:rPr>
        <w:t>Packler</w:t>
      </w:r>
      <w:r>
        <w:rPr>
          <w:color w:val="000000"/>
        </w:rPr>
        <w:t xml:space="preserve"> emailed </w:t>
      </w:r>
      <w:r w:rsidR="00F9715F">
        <w:rPr>
          <w:color w:val="000000"/>
        </w:rPr>
        <w:t>Jon</w:t>
      </w:r>
      <w:r>
        <w:rPr>
          <w:color w:val="000000"/>
        </w:rPr>
        <w:t xml:space="preserve"> </w:t>
      </w:r>
      <w:r w:rsidR="00E82FD6">
        <w:rPr>
          <w:color w:val="000000"/>
        </w:rPr>
        <w:t>Packler</w:t>
      </w:r>
      <w:r w:rsidR="008B54D4">
        <w:rPr>
          <w:color w:val="000000"/>
        </w:rPr>
        <w:t>,</w:t>
      </w:r>
      <w:r>
        <w:rPr>
          <w:color w:val="000000"/>
        </w:rPr>
        <w:t xml:space="preserve"> </w:t>
      </w:r>
      <w:r w:rsidR="00473ECA">
        <w:rPr>
          <w:color w:val="000000"/>
        </w:rPr>
        <w:t>Ron</w:t>
      </w:r>
      <w:r>
        <w:rPr>
          <w:color w:val="000000"/>
        </w:rPr>
        <w:t xml:space="preserve"> </w:t>
      </w:r>
      <w:r w:rsidR="00E82FD6">
        <w:rPr>
          <w:color w:val="000000"/>
        </w:rPr>
        <w:t>Packler</w:t>
      </w:r>
      <w:r w:rsidR="008B54D4">
        <w:rPr>
          <w:color w:val="000000"/>
        </w:rPr>
        <w:t>,</w:t>
      </w:r>
      <w:r>
        <w:rPr>
          <w:color w:val="000000"/>
        </w:rPr>
        <w:t xml:space="preserve"> and their financial advisor</w:t>
      </w:r>
      <w:r w:rsidR="008B54D4">
        <w:rPr>
          <w:color w:val="000000"/>
        </w:rPr>
        <w:t>,</w:t>
      </w:r>
      <w:r>
        <w:rPr>
          <w:color w:val="000000"/>
        </w:rPr>
        <w:t xml:space="preserve"> expressing concern about the family</w:t>
      </w:r>
      <w:r w:rsidR="008B54D4">
        <w:rPr>
          <w:color w:val="000000"/>
        </w:rPr>
        <w:t>’</w:t>
      </w:r>
      <w:r>
        <w:rPr>
          <w:color w:val="000000"/>
        </w:rPr>
        <w:t>s personal liability for the opioid crisis: “</w:t>
      </w:r>
      <w:r w:rsidR="00354078">
        <w:rPr>
          <w:color w:val="000000"/>
        </w:rPr>
        <w:t>W</w:t>
      </w:r>
      <w:r>
        <w:rPr>
          <w:color w:val="000000"/>
        </w:rPr>
        <w:t xml:space="preserve">hat do you think is going on in all of these courtrooms right now? </w:t>
      </w:r>
      <w:r w:rsidR="005B0788">
        <w:rPr>
          <w:color w:val="000000"/>
        </w:rPr>
        <w:t xml:space="preserve"> </w:t>
      </w:r>
      <w:r>
        <w:rPr>
          <w:color w:val="000000"/>
        </w:rPr>
        <w:t>We</w:t>
      </w:r>
      <w:r w:rsidR="008B54D4">
        <w:rPr>
          <w:color w:val="000000"/>
        </w:rPr>
        <w:t>’</w:t>
      </w:r>
      <w:r>
        <w:rPr>
          <w:color w:val="000000"/>
        </w:rPr>
        <w:t xml:space="preserve">re rich? </w:t>
      </w:r>
      <w:r w:rsidR="005B0788">
        <w:rPr>
          <w:color w:val="000000"/>
        </w:rPr>
        <w:t xml:space="preserve"> </w:t>
      </w:r>
      <w:r>
        <w:rPr>
          <w:color w:val="000000"/>
        </w:rPr>
        <w:t xml:space="preserve">For how long? </w:t>
      </w:r>
      <w:r w:rsidR="005B0788">
        <w:rPr>
          <w:color w:val="000000"/>
        </w:rPr>
        <w:t xml:space="preserve"> </w:t>
      </w:r>
      <w:r>
        <w:rPr>
          <w:color w:val="000000"/>
        </w:rPr>
        <w:t>Until suits get through to the family?”</w:t>
      </w:r>
      <w:r w:rsidR="005B0788">
        <w:rPr>
          <w:color w:val="000000"/>
        </w:rPr>
        <w:t xml:space="preserve"> </w:t>
      </w:r>
      <w:r>
        <w:rPr>
          <w:color w:val="000000"/>
        </w:rPr>
        <w:t xml:space="preserve"> In his deposition</w:t>
      </w:r>
      <w:r w:rsidR="008B54D4">
        <w:rPr>
          <w:color w:val="000000"/>
        </w:rPr>
        <w:t>,</w:t>
      </w:r>
      <w:r>
        <w:rPr>
          <w:color w:val="000000"/>
        </w:rPr>
        <w:t xml:space="preserve"> David </w:t>
      </w:r>
      <w:r w:rsidR="00E82FD6">
        <w:rPr>
          <w:color w:val="000000"/>
        </w:rPr>
        <w:t>Packler</w:t>
      </w:r>
      <w:r>
        <w:rPr>
          <w:color w:val="000000"/>
        </w:rPr>
        <w:t xml:space="preserve"> agreed that his May 17</w:t>
      </w:r>
      <w:r w:rsidR="008B54D4">
        <w:rPr>
          <w:color w:val="000000"/>
        </w:rPr>
        <w:t>,</w:t>
      </w:r>
      <w:r>
        <w:rPr>
          <w:color w:val="000000"/>
        </w:rPr>
        <w:t xml:space="preserve"> 2007</w:t>
      </w:r>
      <w:r w:rsidR="008B54D4">
        <w:rPr>
          <w:color w:val="000000"/>
        </w:rPr>
        <w:t>,</w:t>
      </w:r>
      <w:r>
        <w:rPr>
          <w:color w:val="000000"/>
        </w:rPr>
        <w:t xml:space="preserve"> email reflects “concern that the family would be sued in connection with </w:t>
      </w:r>
      <w:r w:rsidR="006239B5">
        <w:rPr>
          <w:color w:val="000000"/>
        </w:rPr>
        <w:t>Oxy</w:t>
      </w:r>
      <w:r w:rsidR="008B54D4">
        <w:rPr>
          <w:color w:val="000000"/>
        </w:rPr>
        <w:t>’</w:t>
      </w:r>
      <w:r>
        <w:rPr>
          <w:color w:val="000000"/>
        </w:rPr>
        <w:t xml:space="preserve">s sale of </w:t>
      </w:r>
      <w:r w:rsidR="00E82FD6">
        <w:rPr>
          <w:color w:val="000000"/>
        </w:rPr>
        <w:t>Oxy</w:t>
      </w:r>
      <w:r w:rsidR="006B7515">
        <w:rPr>
          <w:color w:val="000000"/>
        </w:rPr>
        <w:t>con</w:t>
      </w:r>
      <w:r w:rsidR="00FA79C1">
        <w:rPr>
          <w:color w:val="000000"/>
        </w:rPr>
        <w:t xml:space="preserve">.”  </w:t>
      </w:r>
      <w:r>
        <w:rPr>
          <w:color w:val="000000"/>
        </w:rPr>
        <w:t xml:space="preserve">Less than a week after David </w:t>
      </w:r>
      <w:r w:rsidR="00E82FD6">
        <w:rPr>
          <w:color w:val="000000"/>
        </w:rPr>
        <w:t>Packler</w:t>
      </w:r>
      <w:r>
        <w:rPr>
          <w:color w:val="000000"/>
        </w:rPr>
        <w:t xml:space="preserve"> sent his email</w:t>
      </w:r>
      <w:r w:rsidR="008B54D4">
        <w:rPr>
          <w:color w:val="000000"/>
        </w:rPr>
        <w:t>,</w:t>
      </w:r>
      <w:r>
        <w:rPr>
          <w:color w:val="000000"/>
        </w:rPr>
        <w:t xml:space="preserve"> </w:t>
      </w:r>
      <w:r w:rsidR="00473ECA">
        <w:rPr>
          <w:color w:val="000000"/>
        </w:rPr>
        <w:t>Ron</w:t>
      </w:r>
      <w:r>
        <w:rPr>
          <w:color w:val="000000"/>
        </w:rPr>
        <w:t xml:space="preserve"> and </w:t>
      </w:r>
      <w:r w:rsidR="00F9715F">
        <w:rPr>
          <w:color w:val="000000"/>
        </w:rPr>
        <w:t>Jon</w:t>
      </w:r>
      <w:r>
        <w:rPr>
          <w:color w:val="000000"/>
        </w:rPr>
        <w:t xml:space="preserve"> </w:t>
      </w:r>
      <w:r w:rsidR="00E82FD6">
        <w:rPr>
          <w:color w:val="000000"/>
        </w:rPr>
        <w:t>Packler</w:t>
      </w:r>
      <w:r>
        <w:rPr>
          <w:color w:val="000000"/>
        </w:rPr>
        <w:t xml:space="preserve"> met with a bankruptcy attorney</w:t>
      </w:r>
      <w:r w:rsidR="008B54D4">
        <w:rPr>
          <w:color w:val="000000"/>
        </w:rPr>
        <w:t>,</w:t>
      </w:r>
      <w:r>
        <w:rPr>
          <w:color w:val="000000"/>
        </w:rPr>
        <w:t xml:space="preserve"> though </w:t>
      </w:r>
      <w:r w:rsidR="006239B5">
        <w:rPr>
          <w:color w:val="000000"/>
        </w:rPr>
        <w:t>Oxy</w:t>
      </w:r>
      <w:r>
        <w:rPr>
          <w:color w:val="000000"/>
        </w:rPr>
        <w:t xml:space="preserve"> was not in debt</w:t>
      </w:r>
      <w:r w:rsidR="00354078">
        <w:rPr>
          <w:color w:val="000000"/>
        </w:rPr>
        <w:t>,</w:t>
      </w:r>
      <w:r>
        <w:rPr>
          <w:color w:val="000000"/>
        </w:rPr>
        <w:t xml:space="preserve"> and not at risk of bankruptcy</w:t>
      </w:r>
      <w:r w:rsidR="006A227C">
        <w:rPr>
          <w:color w:val="000000"/>
        </w:rPr>
        <w:t xml:space="preserve">.  </w:t>
      </w:r>
    </w:p>
    <w:p w14:paraId="0B05827A" w14:textId="2AA01BEF" w:rsidR="00A77BBD" w:rsidRDefault="00A77BBD" w:rsidP="00A77BBD">
      <w:pPr>
        <w:pStyle w:val="BodyTextFirstIndent"/>
      </w:pPr>
      <w:r>
        <w:rPr>
          <w:color w:val="000000"/>
        </w:rPr>
        <w:t>Thereafter</w:t>
      </w:r>
      <w:r w:rsidR="008B54D4">
        <w:rPr>
          <w:color w:val="000000"/>
        </w:rPr>
        <w:t>,</w:t>
      </w:r>
      <w:r>
        <w:rPr>
          <w:color w:val="000000"/>
        </w:rPr>
        <w:t xml:space="preserve"> on July 26</w:t>
      </w:r>
      <w:r w:rsidR="008B54D4">
        <w:rPr>
          <w:color w:val="000000"/>
        </w:rPr>
        <w:t>,</w:t>
      </w:r>
      <w:r>
        <w:rPr>
          <w:color w:val="000000"/>
        </w:rPr>
        <w:t xml:space="preserve"> 2007</w:t>
      </w:r>
      <w:r w:rsidR="008B54D4">
        <w:rPr>
          <w:color w:val="000000"/>
        </w:rPr>
        <w:t>,</w:t>
      </w:r>
      <w:r>
        <w:rPr>
          <w:color w:val="000000"/>
        </w:rPr>
        <w:t xml:space="preserve"> a family financial advisor sent a confidential memorandum to Jon </w:t>
      </w:r>
      <w:r w:rsidR="00E82FD6">
        <w:rPr>
          <w:color w:val="000000"/>
        </w:rPr>
        <w:t>Packler</w:t>
      </w:r>
      <w:r w:rsidR="008B54D4">
        <w:rPr>
          <w:color w:val="000000"/>
        </w:rPr>
        <w:t>,</w:t>
      </w:r>
      <w:r>
        <w:rPr>
          <w:color w:val="000000"/>
        </w:rPr>
        <w:t xml:space="preserve"> in which he advised that </w:t>
      </w:r>
      <w:r w:rsidR="006239B5">
        <w:rPr>
          <w:color w:val="000000"/>
        </w:rPr>
        <w:t>Oxy</w:t>
      </w:r>
      <w:r>
        <w:rPr>
          <w:color w:val="000000"/>
        </w:rPr>
        <w:t xml:space="preserve"> faced “[u]ncapped liabilities” that posed “a huge valuation question” for </w:t>
      </w:r>
      <w:r w:rsidR="006239B5">
        <w:rPr>
          <w:color w:val="000000"/>
        </w:rPr>
        <w:t>Oxy</w:t>
      </w:r>
      <w:r>
        <w:rPr>
          <w:color w:val="000000"/>
        </w:rPr>
        <w:t xml:space="preserve"> at that very moment - the moment when the Plea and settlements were ostensibly ending any illegal behavior and putting further corporate liability - and potential shareholder liability - in the rear view mirror</w:t>
      </w:r>
      <w:r w:rsidR="006A227C">
        <w:rPr>
          <w:color w:val="000000"/>
        </w:rPr>
        <w:t xml:space="preserve">.  </w:t>
      </w:r>
      <w:r>
        <w:rPr>
          <w:color w:val="000000"/>
        </w:rPr>
        <w:t>He added</w:t>
      </w:r>
      <w:r w:rsidR="008B54D4">
        <w:rPr>
          <w:color w:val="000000"/>
        </w:rPr>
        <w:t>,</w:t>
      </w:r>
      <w:r>
        <w:rPr>
          <w:color w:val="000000"/>
        </w:rPr>
        <w:t xml:space="preserve"> “I presume the family has taken most of the appropriate defensive measures</w:t>
      </w:r>
      <w:r w:rsidR="00FA79C1">
        <w:rPr>
          <w:color w:val="000000"/>
        </w:rPr>
        <w:t xml:space="preserve">.”  </w:t>
      </w:r>
      <w:r>
        <w:rPr>
          <w:color w:val="000000"/>
        </w:rPr>
        <w:t>One such measure</w:t>
      </w:r>
      <w:r w:rsidR="008B54D4">
        <w:rPr>
          <w:color w:val="000000"/>
        </w:rPr>
        <w:t>,</w:t>
      </w:r>
      <w:r>
        <w:rPr>
          <w:color w:val="000000"/>
        </w:rPr>
        <w:t xml:space="preserve"> proposed in a separate memorandum</w:t>
      </w:r>
      <w:r w:rsidR="008B54D4">
        <w:rPr>
          <w:color w:val="000000"/>
        </w:rPr>
        <w:t>,</w:t>
      </w:r>
      <w:r>
        <w:rPr>
          <w:color w:val="000000"/>
        </w:rPr>
        <w:t xml:space="preserve"> was “to distribute more free cash flow so [the owners] can purchase diversifying assets</w:t>
      </w:r>
      <w:r w:rsidR="00FA79C1">
        <w:rPr>
          <w:color w:val="000000"/>
        </w:rPr>
        <w:t xml:space="preserve">.”  </w:t>
      </w:r>
    </w:p>
    <w:p w14:paraId="6D6B477A" w14:textId="32259147" w:rsidR="00A77BBD" w:rsidRDefault="00A77BBD" w:rsidP="00A77BBD">
      <w:pPr>
        <w:pStyle w:val="BodyTextFirstIndent"/>
      </w:pPr>
      <w:r>
        <w:rPr>
          <w:color w:val="000000"/>
        </w:rPr>
        <w:t>By January 2008</w:t>
      </w:r>
      <w:r w:rsidR="008B54D4">
        <w:rPr>
          <w:color w:val="000000"/>
        </w:rPr>
        <w:t>,</w:t>
      </w:r>
      <w:r>
        <w:rPr>
          <w:color w:val="000000"/>
        </w:rPr>
        <w:t xml:space="preserve"> the anxiety over impending lawsuits was apparent; R</w:t>
      </w:r>
      <w:r w:rsidR="00473ECA">
        <w:rPr>
          <w:color w:val="000000"/>
        </w:rPr>
        <w:t>on</w:t>
      </w:r>
      <w:r>
        <w:rPr>
          <w:color w:val="000000"/>
        </w:rPr>
        <w:t xml:space="preserve"> </w:t>
      </w:r>
      <w:r w:rsidR="00E82FD6">
        <w:rPr>
          <w:color w:val="000000"/>
        </w:rPr>
        <w:t>Packler</w:t>
      </w:r>
      <w:r>
        <w:rPr>
          <w:color w:val="000000"/>
        </w:rPr>
        <w:t xml:space="preserve"> emailed </w:t>
      </w:r>
      <w:r w:rsidR="006E3B83">
        <w:rPr>
          <w:color w:val="000000"/>
        </w:rPr>
        <w:t>Fred</w:t>
      </w:r>
      <w:r>
        <w:rPr>
          <w:color w:val="000000"/>
        </w:rPr>
        <w:t xml:space="preserve"> </w:t>
      </w:r>
      <w:r w:rsidR="00E82FD6">
        <w:rPr>
          <w:color w:val="000000"/>
        </w:rPr>
        <w:t>Packler</w:t>
      </w:r>
      <w:r>
        <w:rPr>
          <w:color w:val="000000"/>
        </w:rPr>
        <w:t xml:space="preserve"> that</w:t>
      </w:r>
      <w:r w:rsidR="008B54D4">
        <w:rPr>
          <w:color w:val="000000"/>
        </w:rPr>
        <w:t>,</w:t>
      </w:r>
      <w:r>
        <w:rPr>
          <w:color w:val="000000"/>
        </w:rPr>
        <w:t xml:space="preserve"> “I</w:t>
      </w:r>
      <w:r w:rsidR="008B54D4">
        <w:rPr>
          <w:color w:val="000000"/>
        </w:rPr>
        <w:t>’</w:t>
      </w:r>
      <w:r>
        <w:rPr>
          <w:color w:val="000000"/>
        </w:rPr>
        <w:t>ve been told by Silbert that I will be [sued] and probably soon</w:t>
      </w:r>
      <w:r w:rsidR="00FA79C1">
        <w:rPr>
          <w:color w:val="000000"/>
        </w:rPr>
        <w:t xml:space="preserve">.”  </w:t>
      </w:r>
      <w:r w:rsidR="006E3B83">
        <w:rPr>
          <w:color w:val="000000"/>
        </w:rPr>
        <w:t>Fred</w:t>
      </w:r>
      <w:r>
        <w:rPr>
          <w:color w:val="000000"/>
        </w:rPr>
        <w:t xml:space="preserve"> </w:t>
      </w:r>
      <w:r w:rsidR="00E82FD6">
        <w:rPr>
          <w:color w:val="000000"/>
        </w:rPr>
        <w:t>Packler</w:t>
      </w:r>
      <w:r>
        <w:rPr>
          <w:color w:val="000000"/>
        </w:rPr>
        <w:t xml:space="preserve"> lamented in a later email in February 2008 that he wished to get out of the pharmaceutical business altogether “given the horrible risks</w:t>
      </w:r>
      <w:r w:rsidR="008B54D4">
        <w:rPr>
          <w:color w:val="000000"/>
        </w:rPr>
        <w:t>,</w:t>
      </w:r>
      <w:r>
        <w:rPr>
          <w:color w:val="000000"/>
        </w:rPr>
        <w:t xml:space="preserve"> outlooks</w:t>
      </w:r>
      <w:r w:rsidR="008B54D4">
        <w:rPr>
          <w:color w:val="000000"/>
        </w:rPr>
        <w:t>,</w:t>
      </w:r>
      <w:r>
        <w:rPr>
          <w:color w:val="000000"/>
        </w:rPr>
        <w:t xml:space="preserve"> difficulties</w:t>
      </w:r>
      <w:r w:rsidR="008B54D4">
        <w:rPr>
          <w:color w:val="000000"/>
        </w:rPr>
        <w:t>,</w:t>
      </w:r>
      <w:r>
        <w:rPr>
          <w:color w:val="000000"/>
        </w:rPr>
        <w:t xml:space="preserve"> etc</w:t>
      </w:r>
      <w:r w:rsidR="00473ECA">
        <w:rPr>
          <w:color w:val="000000"/>
        </w:rPr>
        <w:t>.”</w:t>
      </w:r>
      <w:r w:rsidR="006A227C">
        <w:rPr>
          <w:color w:val="000000"/>
        </w:rPr>
        <w:t xml:space="preserve"> </w:t>
      </w:r>
      <w:r>
        <w:rPr>
          <w:color w:val="000000"/>
        </w:rPr>
        <w:t>In this vein</w:t>
      </w:r>
      <w:r w:rsidR="008B54D4">
        <w:rPr>
          <w:color w:val="000000"/>
        </w:rPr>
        <w:t>,</w:t>
      </w:r>
      <w:r>
        <w:rPr>
          <w:color w:val="000000"/>
        </w:rPr>
        <w:t xml:space="preserve"> in April 18</w:t>
      </w:r>
      <w:r w:rsidR="008B54D4">
        <w:rPr>
          <w:color w:val="000000"/>
        </w:rPr>
        <w:t>,</w:t>
      </w:r>
      <w:r>
        <w:rPr>
          <w:color w:val="000000"/>
        </w:rPr>
        <w:t xml:space="preserve"> 2008</w:t>
      </w:r>
      <w:r w:rsidR="008B54D4">
        <w:rPr>
          <w:color w:val="000000"/>
        </w:rPr>
        <w:t>,</w:t>
      </w:r>
      <w:r>
        <w:rPr>
          <w:color w:val="000000"/>
        </w:rPr>
        <w:t xml:space="preserve"> R</w:t>
      </w:r>
      <w:r w:rsidR="00473ECA">
        <w:rPr>
          <w:color w:val="000000"/>
        </w:rPr>
        <w:t>on</w:t>
      </w:r>
      <w:r>
        <w:rPr>
          <w:color w:val="000000"/>
        </w:rPr>
        <w:t xml:space="preserve"> </w:t>
      </w:r>
      <w:r w:rsidR="00E82FD6">
        <w:rPr>
          <w:color w:val="000000"/>
        </w:rPr>
        <w:t>Packler</w:t>
      </w:r>
      <w:r>
        <w:rPr>
          <w:color w:val="000000"/>
        </w:rPr>
        <w:t xml:space="preserve"> warned in a memo that the business posed a “dangerous concentration of risk” and proposed that the family either sell the company or “distribute more free cash flow” to themselves</w:t>
      </w:r>
      <w:r w:rsidR="006A227C">
        <w:rPr>
          <w:color w:val="000000"/>
        </w:rPr>
        <w:t xml:space="preserve">.  </w:t>
      </w:r>
      <w:r>
        <w:rPr>
          <w:color w:val="000000"/>
        </w:rPr>
        <w:t>The family chose the latter course.</w:t>
      </w:r>
    </w:p>
    <w:p w14:paraId="2DD70465" w14:textId="08C4947D" w:rsidR="00A77BBD" w:rsidRDefault="00A77BBD" w:rsidP="00A77BBD">
      <w:pPr>
        <w:pStyle w:val="BodyTextFirstIndent"/>
      </w:pPr>
      <w:r>
        <w:rPr>
          <w:color w:val="000000"/>
        </w:rPr>
        <w:t>Beginning in 2008</w:t>
      </w:r>
      <w:r w:rsidR="008B54D4">
        <w:rPr>
          <w:color w:val="000000"/>
        </w:rPr>
        <w:t>,</w:t>
      </w:r>
      <w:r>
        <w:rPr>
          <w:color w:val="000000"/>
        </w:rPr>
        <w:t xml:space="preserve"> </w:t>
      </w:r>
      <w:r w:rsidR="006239B5">
        <w:rPr>
          <w:color w:val="000000"/>
        </w:rPr>
        <w:t>Oxy</w:t>
      </w:r>
      <w:r>
        <w:rPr>
          <w:color w:val="000000"/>
        </w:rPr>
        <w:t xml:space="preserve"> began to make significant cash distributions to and for the benefit of the </w:t>
      </w:r>
      <w:r w:rsidR="00E82FD6">
        <w:rPr>
          <w:color w:val="000000"/>
        </w:rPr>
        <w:t>Packler</w:t>
      </w:r>
      <w:r>
        <w:rPr>
          <w:color w:val="000000"/>
        </w:rPr>
        <w:t>s</w:t>
      </w:r>
      <w:r w:rsidR="00473ECA">
        <w:rPr>
          <w:color w:val="000000"/>
        </w:rPr>
        <w:t xml:space="preserve">. </w:t>
      </w:r>
      <w:r>
        <w:rPr>
          <w:color w:val="000000"/>
        </w:rPr>
        <w:t>As noted above</w:t>
      </w:r>
      <w:r w:rsidR="008B54D4">
        <w:rPr>
          <w:color w:val="000000"/>
        </w:rPr>
        <w:t>,</w:t>
      </w:r>
      <w:r>
        <w:rPr>
          <w:color w:val="000000"/>
        </w:rPr>
        <w:t xml:space="preserve"> about 44% of the money distributed went to pay taxes; a small fraction was invested in the IACs</w:t>
      </w:r>
      <w:r w:rsidR="008B54D4">
        <w:rPr>
          <w:color w:val="000000"/>
        </w:rPr>
        <w:t>,</w:t>
      </w:r>
      <w:r>
        <w:rPr>
          <w:color w:val="000000"/>
        </w:rPr>
        <w:t xml:space="preserve"> which were owned by the </w:t>
      </w:r>
      <w:r w:rsidR="00E82FD6">
        <w:rPr>
          <w:color w:val="000000"/>
        </w:rPr>
        <w:t>Packler</w:t>
      </w:r>
      <w:r>
        <w:rPr>
          <w:color w:val="000000"/>
        </w:rPr>
        <w:t>s; and the rest went to the Side A and B</w:t>
      </w:r>
      <w:r w:rsidR="00E4309D">
        <w:rPr>
          <w:color w:val="000000"/>
        </w:rPr>
        <w:t xml:space="preserve"> </w:t>
      </w:r>
      <w:r w:rsidR="00E82FD6">
        <w:rPr>
          <w:color w:val="000000"/>
        </w:rPr>
        <w:t>Packler</w:t>
      </w:r>
      <w:r>
        <w:rPr>
          <w:color w:val="000000"/>
        </w:rPr>
        <w:t xml:space="preserve"> family trusts</w:t>
      </w:r>
      <w:r w:rsidR="006A227C">
        <w:rPr>
          <w:color w:val="000000"/>
        </w:rPr>
        <w:t xml:space="preserve">.  </w:t>
      </w:r>
    </w:p>
    <w:p w14:paraId="2CD0582E" w14:textId="66C55089" w:rsidR="00A77BBD" w:rsidRDefault="00A77BBD" w:rsidP="00A77BBD">
      <w:pPr>
        <w:pStyle w:val="BodyTextFirstIndent"/>
      </w:pPr>
      <w:r>
        <w:rPr>
          <w:color w:val="000000"/>
        </w:rPr>
        <w:t>In the years leading up to the 200</w:t>
      </w:r>
      <w:r w:rsidR="00473ECA">
        <w:rPr>
          <w:color w:val="000000"/>
        </w:rPr>
        <w:t>8</w:t>
      </w:r>
      <w:r>
        <w:rPr>
          <w:color w:val="000000"/>
        </w:rPr>
        <w:t xml:space="preserve"> Plea Agreement and Settlement</w:t>
      </w:r>
      <w:r w:rsidR="008B54D4">
        <w:rPr>
          <w:color w:val="000000"/>
        </w:rPr>
        <w:t>,</w:t>
      </w:r>
      <w:r>
        <w:rPr>
          <w:color w:val="000000"/>
        </w:rPr>
        <w:t xml:space="preserve"> the </w:t>
      </w:r>
      <w:r w:rsidR="00E82FD6">
        <w:rPr>
          <w:color w:val="000000"/>
        </w:rPr>
        <w:t>Packler</w:t>
      </w:r>
      <w:r>
        <w:rPr>
          <w:color w:val="000000"/>
        </w:rPr>
        <w:t xml:space="preserve"> family had been content to leave most of </w:t>
      </w:r>
      <w:r w:rsidR="006239B5">
        <w:rPr>
          <w:color w:val="000000"/>
        </w:rPr>
        <w:t>Oxy</w:t>
      </w:r>
      <w:r w:rsidR="008B54D4">
        <w:rPr>
          <w:color w:val="000000"/>
        </w:rPr>
        <w:t>’</w:t>
      </w:r>
      <w:r>
        <w:rPr>
          <w:color w:val="000000"/>
        </w:rPr>
        <w:t>s earnings in the company</w:t>
      </w:r>
      <w:r w:rsidR="008B54D4">
        <w:rPr>
          <w:color w:val="000000"/>
        </w:rPr>
        <w:t>,</w:t>
      </w:r>
      <w:r>
        <w:rPr>
          <w:color w:val="000000"/>
        </w:rPr>
        <w:t xml:space="preserve"> except as was necessary to pay taxes</w:t>
      </w:r>
      <w:r w:rsidR="006A227C">
        <w:rPr>
          <w:color w:val="000000"/>
        </w:rPr>
        <w:t xml:space="preserve">.  </w:t>
      </w:r>
      <w:r>
        <w:rPr>
          <w:color w:val="000000"/>
        </w:rPr>
        <w:t>In response to a question from this Court</w:t>
      </w:r>
      <w:r w:rsidR="008B54D4">
        <w:rPr>
          <w:color w:val="000000"/>
        </w:rPr>
        <w:t>,</w:t>
      </w:r>
      <w:r>
        <w:rPr>
          <w:color w:val="000000"/>
        </w:rPr>
        <w:t xml:space="preserve"> Debtors acknowledged that</w:t>
      </w:r>
      <w:r w:rsidR="008B54D4">
        <w:rPr>
          <w:color w:val="000000"/>
        </w:rPr>
        <w:t>,</w:t>
      </w:r>
      <w:r>
        <w:rPr>
          <w:color w:val="000000"/>
        </w:rPr>
        <w:t xml:space="preserve"> between January 1</w:t>
      </w:r>
      <w:r w:rsidR="008B54D4">
        <w:rPr>
          <w:color w:val="000000"/>
        </w:rPr>
        <w:t>,</w:t>
      </w:r>
      <w:r>
        <w:rPr>
          <w:color w:val="000000"/>
        </w:rPr>
        <w:t xml:space="preserve"> 1995 and December 31</w:t>
      </w:r>
      <w:r w:rsidR="008B54D4">
        <w:rPr>
          <w:color w:val="000000"/>
        </w:rPr>
        <w:t>,</w:t>
      </w:r>
      <w:r>
        <w:rPr>
          <w:color w:val="000000"/>
        </w:rPr>
        <w:t xml:space="preserve"> 2007</w:t>
      </w:r>
      <w:r w:rsidR="008B54D4">
        <w:rPr>
          <w:color w:val="000000"/>
        </w:rPr>
        <w:t>,</w:t>
      </w:r>
      <w:r>
        <w:rPr>
          <w:color w:val="000000"/>
        </w:rPr>
        <w:t xml:space="preserve"> distributions to the </w:t>
      </w:r>
      <w:r w:rsidR="00E82FD6">
        <w:rPr>
          <w:color w:val="000000"/>
        </w:rPr>
        <w:t>Packler</w:t>
      </w:r>
      <w:r>
        <w:rPr>
          <w:color w:val="000000"/>
        </w:rPr>
        <w:t>s totaled $1.322 billion</w:t>
      </w:r>
      <w:r w:rsidR="008B54D4">
        <w:rPr>
          <w:color w:val="000000"/>
        </w:rPr>
        <w:t>,</w:t>
      </w:r>
      <w:r>
        <w:rPr>
          <w:color w:val="000000"/>
        </w:rPr>
        <w:t xml:space="preserve"> of which $1.192 billion (or 90.2%) was used to pay taxes</w:t>
      </w:r>
      <w:r w:rsidR="00473ECA">
        <w:rPr>
          <w:color w:val="000000"/>
        </w:rPr>
        <w:t xml:space="preserve">. </w:t>
      </w:r>
      <w:r>
        <w:rPr>
          <w:color w:val="000000"/>
        </w:rPr>
        <w:t>In the twelve years prior to 2008</w:t>
      </w:r>
      <w:r w:rsidR="008B54D4">
        <w:rPr>
          <w:color w:val="000000"/>
        </w:rPr>
        <w:t>,</w:t>
      </w:r>
      <w:r>
        <w:rPr>
          <w:color w:val="000000"/>
        </w:rPr>
        <w:t xml:space="preserve"> the </w:t>
      </w:r>
      <w:r w:rsidR="00E82FD6">
        <w:rPr>
          <w:color w:val="000000"/>
        </w:rPr>
        <w:t>Packler</w:t>
      </w:r>
      <w:r>
        <w:rPr>
          <w:color w:val="000000"/>
        </w:rPr>
        <w:t xml:space="preserve">s took personal distributions from </w:t>
      </w:r>
      <w:r w:rsidR="006239B5">
        <w:rPr>
          <w:color w:val="000000"/>
        </w:rPr>
        <w:t>Oxy</w:t>
      </w:r>
      <w:r>
        <w:rPr>
          <w:color w:val="000000"/>
        </w:rPr>
        <w:t xml:space="preserve"> that averaged 9% of </w:t>
      </w:r>
      <w:r w:rsidR="006239B5">
        <w:rPr>
          <w:color w:val="000000"/>
        </w:rPr>
        <w:t>Oxy</w:t>
      </w:r>
      <w:r w:rsidR="008B54D4">
        <w:rPr>
          <w:color w:val="000000"/>
        </w:rPr>
        <w:t>’</w:t>
      </w:r>
      <w:r>
        <w:rPr>
          <w:color w:val="000000"/>
        </w:rPr>
        <w:t>s revenue</w:t>
      </w:r>
      <w:r w:rsidR="006A227C">
        <w:rPr>
          <w:color w:val="000000"/>
        </w:rPr>
        <w:t xml:space="preserve">.  </w:t>
      </w:r>
    </w:p>
    <w:p w14:paraId="06A4E132" w14:textId="6FE7C1F3" w:rsidR="00A77BBD" w:rsidRDefault="00A77BBD" w:rsidP="00A77BBD">
      <w:pPr>
        <w:pStyle w:val="BodyTextFirstIndent"/>
      </w:pPr>
      <w:r>
        <w:rPr>
          <w:color w:val="000000"/>
        </w:rPr>
        <w:t>After 2007</w:t>
      </w:r>
      <w:r w:rsidR="008B54D4">
        <w:rPr>
          <w:color w:val="000000"/>
        </w:rPr>
        <w:t>,</w:t>
      </w:r>
      <w:r>
        <w:rPr>
          <w:color w:val="000000"/>
        </w:rPr>
        <w:t xml:space="preserve"> </w:t>
      </w:r>
      <w:r w:rsidR="006239B5">
        <w:rPr>
          <w:color w:val="000000"/>
        </w:rPr>
        <w:t>Oxy</w:t>
      </w:r>
      <w:r>
        <w:rPr>
          <w:color w:val="000000"/>
        </w:rPr>
        <w:t xml:space="preserve"> went from distributing less than 15% of its revenue to distributing as much as 70% of revenue.</w:t>
      </w:r>
      <w:r>
        <w:rPr>
          <w:rStyle w:val="FootnoteReference"/>
          <w:rFonts w:eastAsia="Times New Roman" w:cs="Times New Roman"/>
          <w:color w:val="000000"/>
          <w:vertAlign w:val="superscript"/>
        </w:rPr>
        <w:footnoteReference w:id="13"/>
      </w:r>
      <w:r>
        <w:rPr>
          <w:color w:val="000000"/>
        </w:rPr>
        <w:t xml:space="preserve"> It also jumped from distributing approximately 38% of its free cash flow in 2006 to distributing 167.4% of free cash flow in 2007 and </w:t>
      </w:r>
      <w:r w:rsidR="00354078">
        <w:rPr>
          <w:color w:val="000000"/>
        </w:rPr>
        <w:t>co</w:t>
      </w:r>
      <w:r w:rsidR="003B7D4B">
        <w:rPr>
          <w:color w:val="000000"/>
        </w:rPr>
        <w:t>ntin</w:t>
      </w:r>
      <w:r>
        <w:rPr>
          <w:color w:val="000000"/>
        </w:rPr>
        <w:t>ued to distribute free cash flow in the 90% range for the next decade</w:t>
      </w:r>
      <w:r w:rsidR="006A227C">
        <w:rPr>
          <w:color w:val="000000"/>
        </w:rPr>
        <w:t xml:space="preserve">.  </w:t>
      </w:r>
      <w:r>
        <w:rPr>
          <w:color w:val="000000"/>
        </w:rPr>
        <w:t>These distributions totaled approximately $10.4 Billion</w:t>
      </w:r>
      <w:r w:rsidR="006A227C">
        <w:rPr>
          <w:color w:val="000000"/>
        </w:rPr>
        <w:t xml:space="preserve">.  </w:t>
      </w:r>
    </w:p>
    <w:p w14:paraId="7E5FDC5B" w14:textId="391D0034" w:rsidR="00A77BBD" w:rsidRDefault="00A77BBD" w:rsidP="00A77BBD">
      <w:pPr>
        <w:pStyle w:val="BodyTextFirstIndent"/>
      </w:pPr>
      <w:r>
        <w:rPr>
          <w:color w:val="000000"/>
        </w:rPr>
        <w:t xml:space="preserve">Approximately $4.6 billion of that amount was used to pay pass through taxes which attests to the tremendous profitability of </w:t>
      </w:r>
      <w:r w:rsidR="006239B5">
        <w:rPr>
          <w:color w:val="000000"/>
        </w:rPr>
        <w:t>Oxy</w:t>
      </w:r>
      <w:r w:rsidR="008B54D4">
        <w:rPr>
          <w:color w:val="000000"/>
        </w:rPr>
        <w:t>’</w:t>
      </w:r>
      <w:r>
        <w:rPr>
          <w:color w:val="000000"/>
        </w:rPr>
        <w:t xml:space="preserve">s </w:t>
      </w:r>
      <w:r w:rsidR="00E82FD6">
        <w:rPr>
          <w:color w:val="000000"/>
        </w:rPr>
        <w:t>Oxy</w:t>
      </w:r>
      <w:r w:rsidR="006B7515">
        <w:rPr>
          <w:color w:val="000000"/>
        </w:rPr>
        <w:t>con</w:t>
      </w:r>
      <w:r>
        <w:rPr>
          <w:color w:val="000000"/>
        </w:rPr>
        <w:t xml:space="preserve"> business during that same eleven-year period</w:t>
      </w:r>
      <w:r w:rsidR="006A227C">
        <w:rPr>
          <w:color w:val="000000"/>
        </w:rPr>
        <w:t xml:space="preserve">.  </w:t>
      </w:r>
      <w:r>
        <w:rPr>
          <w:color w:val="000000"/>
        </w:rPr>
        <w:t>In fact</w:t>
      </w:r>
      <w:r w:rsidR="008B54D4">
        <w:rPr>
          <w:color w:val="000000"/>
        </w:rPr>
        <w:t>,</w:t>
      </w:r>
      <w:r>
        <w:rPr>
          <w:color w:val="000000"/>
        </w:rPr>
        <w:t xml:space="preserve"> the vast majority of </w:t>
      </w:r>
      <w:r w:rsidR="006239B5">
        <w:rPr>
          <w:color w:val="000000"/>
        </w:rPr>
        <w:t>Oxy</w:t>
      </w:r>
      <w:r w:rsidR="008B54D4">
        <w:rPr>
          <w:color w:val="000000"/>
        </w:rPr>
        <w:t>’</w:t>
      </w:r>
      <w:r>
        <w:rPr>
          <w:color w:val="000000"/>
        </w:rPr>
        <w:t xml:space="preserve">s earnings between 2008-2017 came from </w:t>
      </w:r>
      <w:r w:rsidR="00E82FD6">
        <w:rPr>
          <w:color w:val="000000"/>
        </w:rPr>
        <w:t>Oxy</w:t>
      </w:r>
      <w:r w:rsidR="006B7515">
        <w:rPr>
          <w:color w:val="000000"/>
        </w:rPr>
        <w:t>con</w:t>
      </w:r>
      <w:r>
        <w:rPr>
          <w:color w:val="000000"/>
        </w:rPr>
        <w:t xml:space="preserve"> sales</w:t>
      </w:r>
      <w:r w:rsidR="006A227C">
        <w:rPr>
          <w:color w:val="000000"/>
        </w:rPr>
        <w:t xml:space="preserve">. </w:t>
      </w:r>
    </w:p>
    <w:p w14:paraId="3E957ACE" w14:textId="0F2490F4" w:rsidR="00A77BBD" w:rsidRDefault="00A77BBD" w:rsidP="00A77BBD">
      <w:pPr>
        <w:pStyle w:val="BodyTextFirstIndent"/>
      </w:pPr>
      <w:r>
        <w:rPr>
          <w:color w:val="000000"/>
        </w:rPr>
        <w:t xml:space="preserve">According to the </w:t>
      </w:r>
      <w:r w:rsidR="00E82FD6">
        <w:rPr>
          <w:color w:val="000000"/>
        </w:rPr>
        <w:t>Packler</w:t>
      </w:r>
      <w:r>
        <w:rPr>
          <w:color w:val="000000"/>
        </w:rPr>
        <w:t>s</w:t>
      </w:r>
      <w:r w:rsidR="008B54D4">
        <w:rPr>
          <w:color w:val="000000"/>
        </w:rPr>
        <w:t>’</w:t>
      </w:r>
      <w:r>
        <w:rPr>
          <w:color w:val="000000"/>
        </w:rPr>
        <w:t xml:space="preserve"> own expert</w:t>
      </w:r>
      <w:r w:rsidR="008B54D4">
        <w:rPr>
          <w:color w:val="000000"/>
        </w:rPr>
        <w:t>,</w:t>
      </w:r>
      <w:r>
        <w:rPr>
          <w:color w:val="000000"/>
        </w:rPr>
        <w:t xml:space="preserve"> the change in distribution pattern </w:t>
      </w:r>
      <w:r w:rsidR="00473ECA">
        <w:rPr>
          <w:color w:val="000000"/>
        </w:rPr>
        <w:t>drain</w:t>
      </w:r>
      <w:r>
        <w:rPr>
          <w:color w:val="000000"/>
        </w:rPr>
        <w:t xml:space="preserve">ed </w:t>
      </w:r>
      <w:r w:rsidR="006239B5">
        <w:rPr>
          <w:color w:val="000000"/>
        </w:rPr>
        <w:t>Oxy</w:t>
      </w:r>
      <w:r w:rsidR="008B54D4">
        <w:rPr>
          <w:color w:val="000000"/>
        </w:rPr>
        <w:t>’</w:t>
      </w:r>
      <w:r>
        <w:rPr>
          <w:color w:val="000000"/>
        </w:rPr>
        <w:t xml:space="preserve">s total assets by 75% and </w:t>
      </w:r>
      <w:r w:rsidR="006239B5">
        <w:rPr>
          <w:color w:val="000000"/>
        </w:rPr>
        <w:t>Oxy</w:t>
      </w:r>
      <w:r w:rsidR="008B54D4">
        <w:rPr>
          <w:color w:val="000000"/>
        </w:rPr>
        <w:t>’</w:t>
      </w:r>
      <w:r>
        <w:rPr>
          <w:color w:val="000000"/>
        </w:rPr>
        <w:t>s “solvency cushion” by 82% between 2008 and 2016</w:t>
      </w:r>
      <w:r w:rsidR="006A227C">
        <w:rPr>
          <w:color w:val="000000"/>
        </w:rPr>
        <w:t xml:space="preserve">.  </w:t>
      </w:r>
      <w:r>
        <w:rPr>
          <w:color w:val="000000"/>
        </w:rPr>
        <w:t>R</w:t>
      </w:r>
      <w:r w:rsidR="00473ECA">
        <w:rPr>
          <w:color w:val="000000"/>
        </w:rPr>
        <w:t>on</w:t>
      </w:r>
      <w:r>
        <w:rPr>
          <w:color w:val="000000"/>
        </w:rPr>
        <w:t xml:space="preserve"> </w:t>
      </w:r>
      <w:r w:rsidR="00E82FD6">
        <w:rPr>
          <w:color w:val="000000"/>
        </w:rPr>
        <w:t>Packler</w:t>
      </w:r>
      <w:r>
        <w:rPr>
          <w:color w:val="000000"/>
        </w:rPr>
        <w:t xml:space="preserve"> later acknowledged in an email in 2014 that</w:t>
      </w:r>
      <w:r w:rsidR="008B54D4">
        <w:rPr>
          <w:color w:val="000000"/>
        </w:rPr>
        <w:t>,</w:t>
      </w:r>
      <w:r>
        <w:rPr>
          <w:color w:val="000000"/>
        </w:rPr>
        <w:t xml:space="preserve"> “in the years when the business was producing massive amounts of cash</w:t>
      </w:r>
      <w:r w:rsidR="008B54D4">
        <w:rPr>
          <w:color w:val="000000"/>
        </w:rPr>
        <w:t>,</w:t>
      </w:r>
      <w:r>
        <w:rPr>
          <w:color w:val="000000"/>
        </w:rPr>
        <w:t xml:space="preserve"> the shareholders departed from the practice of our industry peers and took the money out of the business</w:t>
      </w:r>
      <w:r w:rsidR="00FA79C1">
        <w:rPr>
          <w:color w:val="000000"/>
        </w:rPr>
        <w:t xml:space="preserve">.”  </w:t>
      </w:r>
      <w:r>
        <w:rPr>
          <w:color w:val="000000"/>
        </w:rPr>
        <w:t>In at least one email in 2014</w:t>
      </w:r>
      <w:r w:rsidR="008B54D4">
        <w:rPr>
          <w:color w:val="000000"/>
        </w:rPr>
        <w:t>,</w:t>
      </w:r>
      <w:r>
        <w:rPr>
          <w:color w:val="000000"/>
        </w:rPr>
        <w:t xml:space="preserve"> Jon</w:t>
      </w:r>
      <w:r w:rsidR="00473ECA">
        <w:rPr>
          <w:color w:val="000000"/>
        </w:rPr>
        <w:t xml:space="preserve"> </w:t>
      </w:r>
      <w:r w:rsidR="00E82FD6">
        <w:rPr>
          <w:color w:val="000000"/>
        </w:rPr>
        <w:t>Packler</w:t>
      </w:r>
      <w:r>
        <w:rPr>
          <w:color w:val="000000"/>
        </w:rPr>
        <w:t xml:space="preserve"> referred to this distributing of cash flow from </w:t>
      </w:r>
      <w:r w:rsidR="00E82FD6">
        <w:rPr>
          <w:color w:val="000000"/>
        </w:rPr>
        <w:t>Oxy</w:t>
      </w:r>
      <w:r w:rsidR="006B7515">
        <w:rPr>
          <w:color w:val="000000"/>
        </w:rPr>
        <w:t>con</w:t>
      </w:r>
      <w:r>
        <w:rPr>
          <w:color w:val="000000"/>
        </w:rPr>
        <w:t xml:space="preserve"> as a “milking” program</w:t>
      </w:r>
      <w:r w:rsidR="006A227C">
        <w:rPr>
          <w:color w:val="000000"/>
        </w:rPr>
        <w:t xml:space="preserve">.  </w:t>
      </w:r>
    </w:p>
    <w:p w14:paraId="7CF25311" w14:textId="337E5D6E" w:rsidR="00A77BBD" w:rsidRDefault="00A77BBD" w:rsidP="00A77BBD">
      <w:pPr>
        <w:pStyle w:val="BodyTextFirstIndent"/>
      </w:pPr>
      <w:r>
        <w:rPr>
          <w:color w:val="000000"/>
        </w:rPr>
        <w:t xml:space="preserve">The obvious implication of this evidence was recognized by Judge </w:t>
      </w:r>
      <w:r w:rsidR="00E82FD6">
        <w:rPr>
          <w:color w:val="000000"/>
        </w:rPr>
        <w:t>Wains</w:t>
      </w:r>
      <w:r>
        <w:rPr>
          <w:color w:val="000000"/>
        </w:rPr>
        <w:t xml:space="preserve"> in his bankruptcy decision</w:t>
      </w:r>
      <w:r w:rsidR="00354078">
        <w:rPr>
          <w:color w:val="000000"/>
        </w:rPr>
        <w:t xml:space="preserve">. </w:t>
      </w:r>
      <w:r>
        <w:rPr>
          <w:color w:val="000000"/>
        </w:rPr>
        <w:t>In particular</w:t>
      </w:r>
      <w:r w:rsidR="008B54D4">
        <w:rPr>
          <w:color w:val="000000"/>
        </w:rPr>
        <w:t>,</w:t>
      </w:r>
      <w:r>
        <w:rPr>
          <w:color w:val="000000"/>
        </w:rPr>
        <w:t xml:space="preserve"> Judge </w:t>
      </w:r>
      <w:r w:rsidR="00E82FD6">
        <w:rPr>
          <w:color w:val="000000"/>
        </w:rPr>
        <w:t>Wains</w:t>
      </w:r>
      <w:r>
        <w:rPr>
          <w:color w:val="000000"/>
        </w:rPr>
        <w:t xml:space="preserve"> noted</w:t>
      </w:r>
      <w:r w:rsidR="008B54D4">
        <w:rPr>
          <w:color w:val="000000"/>
        </w:rPr>
        <w:t>,</w:t>
      </w:r>
      <w:r>
        <w:rPr>
          <w:color w:val="000000"/>
        </w:rPr>
        <w:t xml:space="preserve"> “I do have an extensive report and trial declarations as to the nature of the assertedly over $11 billion of avoidable transfers</w:t>
      </w:r>
      <w:r w:rsidR="008B54D4">
        <w:rPr>
          <w:color w:val="000000"/>
        </w:rPr>
        <w:t>,</w:t>
      </w:r>
      <w:r>
        <w:rPr>
          <w:color w:val="000000"/>
        </w:rPr>
        <w:t xml:space="preserve"> when they occurred</w:t>
      </w:r>
      <w:r w:rsidR="008B54D4">
        <w:rPr>
          <w:color w:val="000000"/>
        </w:rPr>
        <w:t>,</w:t>
      </w:r>
      <w:r>
        <w:rPr>
          <w:color w:val="000000"/>
        </w:rPr>
        <w:t xml:space="preserve"> what they comprised</w:t>
      </w:r>
      <w:r w:rsidR="008B54D4">
        <w:rPr>
          <w:color w:val="000000"/>
        </w:rPr>
        <w:t>,</w:t>
      </w:r>
      <w:r>
        <w:rPr>
          <w:color w:val="000000"/>
        </w:rPr>
        <w:t xml:space="preserve"> and who they were made to</w:t>
      </w:r>
      <w:r w:rsidR="008B54D4">
        <w:rPr>
          <w:color w:val="000000"/>
        </w:rPr>
        <w:t>,</w:t>
      </w:r>
      <w:r>
        <w:rPr>
          <w:color w:val="000000"/>
        </w:rPr>
        <w:t>” and found</w:t>
      </w:r>
      <w:r w:rsidR="008B54D4">
        <w:rPr>
          <w:color w:val="000000"/>
        </w:rPr>
        <w:t>,</w:t>
      </w:r>
      <w:r>
        <w:rPr>
          <w:color w:val="000000"/>
        </w:rPr>
        <w:t xml:space="preserve"> “</w:t>
      </w:r>
      <w:r w:rsidR="00354078">
        <w:rPr>
          <w:color w:val="000000"/>
        </w:rPr>
        <w:t>t</w:t>
      </w:r>
      <w:r>
        <w:rPr>
          <w:color w:val="000000"/>
        </w:rPr>
        <w:t xml:space="preserve">he record suggest[s] that at least some of the </w:t>
      </w:r>
      <w:r w:rsidR="00E82FD6">
        <w:rPr>
          <w:color w:val="000000"/>
        </w:rPr>
        <w:t>Packler</w:t>
      </w:r>
      <w:r>
        <w:rPr>
          <w:color w:val="000000"/>
        </w:rPr>
        <w:t xml:space="preserve">s were very aware of the risk of opioid-related litigation claims against </w:t>
      </w:r>
      <w:r w:rsidR="006239B5">
        <w:rPr>
          <w:color w:val="000000"/>
        </w:rPr>
        <w:t>Oxy</w:t>
      </w:r>
      <w:r>
        <w:rPr>
          <w:color w:val="000000"/>
        </w:rPr>
        <w:t xml:space="preserve"> and sought to shield themselves from the economic effect of such claims by causing </w:t>
      </w:r>
      <w:r w:rsidR="006239B5">
        <w:rPr>
          <w:color w:val="000000"/>
        </w:rPr>
        <w:t>Oxy</w:t>
      </w:r>
      <w:r>
        <w:rPr>
          <w:color w:val="000000"/>
        </w:rPr>
        <w:t xml:space="preserve"> to make billions of dollars of transfers to them and to shield their own assets</w:t>
      </w:r>
      <w:r w:rsidR="008B54D4">
        <w:rPr>
          <w:color w:val="000000"/>
        </w:rPr>
        <w:t>,</w:t>
      </w:r>
      <w:r>
        <w:rPr>
          <w:color w:val="000000"/>
        </w:rPr>
        <w:t xml:space="preserve"> as well</w:t>
      </w:r>
      <w:r w:rsidR="008B54D4">
        <w:rPr>
          <w:color w:val="000000"/>
        </w:rPr>
        <w:t>,</w:t>
      </w:r>
      <w:r>
        <w:rPr>
          <w:color w:val="000000"/>
        </w:rPr>
        <w:t xml:space="preserve"> from collection</w:t>
      </w:r>
      <w:r w:rsidR="00FA79C1">
        <w:rPr>
          <w:color w:val="000000"/>
        </w:rPr>
        <w:t xml:space="preserve">.”  </w:t>
      </w:r>
      <w:r>
        <w:rPr>
          <w:color w:val="000000"/>
        </w:rPr>
        <w:t>While he made no finding that these distributions qualified as fraudulent conveyances</w:t>
      </w:r>
      <w:r w:rsidR="008B54D4">
        <w:rPr>
          <w:color w:val="000000"/>
        </w:rPr>
        <w:t>,</w:t>
      </w:r>
      <w:r>
        <w:rPr>
          <w:color w:val="000000"/>
        </w:rPr>
        <w:t xml:space="preserve"> or that they could be recouped by </w:t>
      </w:r>
      <w:r w:rsidR="006239B5">
        <w:rPr>
          <w:color w:val="000000"/>
        </w:rPr>
        <w:t>Oxy</w:t>
      </w:r>
      <w:r w:rsidR="008B54D4">
        <w:rPr>
          <w:color w:val="000000"/>
        </w:rPr>
        <w:t>,</w:t>
      </w:r>
      <w:r>
        <w:rPr>
          <w:color w:val="000000"/>
        </w:rPr>
        <w:t xml:space="preserve"> Judge </w:t>
      </w:r>
      <w:r w:rsidR="00E82FD6">
        <w:rPr>
          <w:color w:val="000000"/>
        </w:rPr>
        <w:t>Wains</w:t>
      </w:r>
      <w:r>
        <w:rPr>
          <w:color w:val="000000"/>
        </w:rPr>
        <w:t xml:space="preserve"> also acknowledged that the estate had potential claims of “over $11 billon of assertedly avoidable transfers</w:t>
      </w:r>
      <w:r w:rsidR="00FA79C1">
        <w:rPr>
          <w:color w:val="000000"/>
        </w:rPr>
        <w:t xml:space="preserve">.” </w:t>
      </w:r>
    </w:p>
    <w:p w14:paraId="7769AC55" w14:textId="59D345BB" w:rsidR="00A77BBD" w:rsidRDefault="00A77BBD" w:rsidP="00A77BBD">
      <w:pPr>
        <w:pStyle w:val="BodyTextFirstIndent"/>
      </w:pPr>
      <w:r>
        <w:rPr>
          <w:color w:val="000000"/>
        </w:rPr>
        <w:t xml:space="preserve">As Judge </w:t>
      </w:r>
      <w:r w:rsidR="00E82FD6">
        <w:rPr>
          <w:color w:val="000000"/>
        </w:rPr>
        <w:t>Wains</w:t>
      </w:r>
      <w:r>
        <w:rPr>
          <w:color w:val="000000"/>
        </w:rPr>
        <w:t xml:space="preserve"> also acknowledged</w:t>
      </w:r>
      <w:r w:rsidR="008B54D4">
        <w:rPr>
          <w:color w:val="000000"/>
        </w:rPr>
        <w:t>,</w:t>
      </w:r>
      <w:r>
        <w:rPr>
          <w:color w:val="000000"/>
        </w:rPr>
        <w:t xml:space="preserve"> the distribution of </w:t>
      </w:r>
      <w:r w:rsidR="006239B5">
        <w:rPr>
          <w:color w:val="000000"/>
        </w:rPr>
        <w:t>Oxy</w:t>
      </w:r>
      <w:r>
        <w:rPr>
          <w:color w:val="000000"/>
        </w:rPr>
        <w:t xml:space="preserve"> money to the </w:t>
      </w:r>
      <w:r w:rsidR="00E82FD6">
        <w:rPr>
          <w:color w:val="000000"/>
        </w:rPr>
        <w:t>Packler</w:t>
      </w:r>
      <w:r>
        <w:rPr>
          <w:color w:val="000000"/>
        </w:rPr>
        <w:t xml:space="preserve"> family occurred during a time when members of the </w:t>
      </w:r>
      <w:r w:rsidR="00E82FD6">
        <w:rPr>
          <w:color w:val="000000"/>
        </w:rPr>
        <w:t>Packler</w:t>
      </w:r>
      <w:r>
        <w:rPr>
          <w:color w:val="000000"/>
        </w:rPr>
        <w:t xml:space="preserve"> family</w:t>
      </w:r>
      <w:r w:rsidR="008B54D4">
        <w:rPr>
          <w:color w:val="000000"/>
        </w:rPr>
        <w:t>,</w:t>
      </w:r>
      <w:r>
        <w:rPr>
          <w:color w:val="000000"/>
        </w:rPr>
        <w:t xml:space="preserve"> including those named in many pending cases</w:t>
      </w:r>
      <w:r w:rsidR="008B54D4">
        <w:rPr>
          <w:color w:val="000000"/>
        </w:rPr>
        <w:t>,</w:t>
      </w:r>
      <w:r>
        <w:rPr>
          <w:color w:val="000000"/>
        </w:rPr>
        <w:t xml:space="preserve"> were closely involved in the operations of </w:t>
      </w:r>
      <w:r w:rsidR="006239B5">
        <w:rPr>
          <w:color w:val="000000"/>
        </w:rPr>
        <w:t>Oxy</w:t>
      </w:r>
      <w:r>
        <w:rPr>
          <w:color w:val="000000"/>
        </w:rPr>
        <w:t xml:space="preserve"> and well aware of the opioid crisis and the litigation risk</w:t>
      </w:r>
      <w:r w:rsidR="006A227C">
        <w:rPr>
          <w:color w:val="000000"/>
        </w:rPr>
        <w:t xml:space="preserve">.  </w:t>
      </w:r>
      <w:r>
        <w:rPr>
          <w:color w:val="000000"/>
        </w:rPr>
        <w:t xml:space="preserve">“The testimony that I heard from the </w:t>
      </w:r>
      <w:r w:rsidR="00E82FD6">
        <w:rPr>
          <w:color w:val="000000"/>
        </w:rPr>
        <w:t>Packler</w:t>
      </w:r>
      <w:r>
        <w:rPr>
          <w:color w:val="000000"/>
        </w:rPr>
        <w:t>s tended to show</w:t>
      </w:r>
      <w:r w:rsidR="008B54D4">
        <w:rPr>
          <w:color w:val="000000"/>
        </w:rPr>
        <w:t>,</w:t>
      </w:r>
      <w:r>
        <w:rPr>
          <w:color w:val="000000"/>
        </w:rPr>
        <w:t xml:space="preserve"> that as a closely held company </w:t>
      </w:r>
      <w:r w:rsidR="006239B5">
        <w:rPr>
          <w:color w:val="000000"/>
        </w:rPr>
        <w:t>Oxy</w:t>
      </w:r>
      <w:r>
        <w:rPr>
          <w:color w:val="000000"/>
        </w:rPr>
        <w:t xml:space="preserve"> was run differently than a public company and that its Board and shareholders took a major role in corporate decision-making</w:t>
      </w:r>
      <w:r w:rsidR="008B54D4">
        <w:rPr>
          <w:color w:val="000000"/>
        </w:rPr>
        <w:t>,</w:t>
      </w:r>
      <w:r>
        <w:rPr>
          <w:color w:val="000000"/>
        </w:rPr>
        <w:t xml:space="preserve"> including </w:t>
      </w:r>
      <w:r w:rsidR="006239B5">
        <w:rPr>
          <w:color w:val="000000"/>
        </w:rPr>
        <w:t>Oxy</w:t>
      </w:r>
      <w:r w:rsidR="008B54D4">
        <w:rPr>
          <w:color w:val="000000"/>
        </w:rPr>
        <w:t>’</w:t>
      </w:r>
      <w:r>
        <w:rPr>
          <w:color w:val="000000"/>
        </w:rPr>
        <w:t>s practices regarding its opioid products that was more akin to the role of senior management</w:t>
      </w:r>
      <w:r w:rsidR="00FA79C1">
        <w:rPr>
          <w:color w:val="000000"/>
        </w:rPr>
        <w:t xml:space="preserve">.”  </w:t>
      </w:r>
      <w:r>
        <w:rPr>
          <w:color w:val="000000"/>
        </w:rPr>
        <w:t>As R</w:t>
      </w:r>
      <w:r w:rsidR="00473ECA">
        <w:rPr>
          <w:color w:val="000000"/>
        </w:rPr>
        <w:t>on</w:t>
      </w:r>
      <w:r>
        <w:rPr>
          <w:color w:val="000000"/>
        </w:rPr>
        <w:t xml:space="preserve"> </w:t>
      </w:r>
      <w:r w:rsidR="00E82FD6">
        <w:rPr>
          <w:color w:val="000000"/>
        </w:rPr>
        <w:t>Packler</w:t>
      </w:r>
      <w:r>
        <w:rPr>
          <w:color w:val="000000"/>
        </w:rPr>
        <w:t xml:space="preserve"> acknowledged in the Confirmation Hearing</w:t>
      </w:r>
      <w:r w:rsidR="008B54D4">
        <w:rPr>
          <w:color w:val="000000"/>
        </w:rPr>
        <w:t>,</w:t>
      </w:r>
      <w:r>
        <w:rPr>
          <w:color w:val="000000"/>
        </w:rPr>
        <w:t xml:space="preserve"> he oversaw</w:t>
      </w:r>
      <w:r w:rsidR="00354078">
        <w:rPr>
          <w:color w:val="000000"/>
        </w:rPr>
        <w:t>,</w:t>
      </w:r>
      <w:r>
        <w:rPr>
          <w:color w:val="000000"/>
        </w:rPr>
        <w:t xml:space="preserve"> as director</w:t>
      </w:r>
      <w:r w:rsidR="00354078">
        <w:rPr>
          <w:color w:val="000000"/>
        </w:rPr>
        <w:t>,</w:t>
      </w:r>
      <w:r>
        <w:rPr>
          <w:color w:val="000000"/>
        </w:rPr>
        <w:t xml:space="preserve"> “many settlements</w:t>
      </w:r>
      <w:r w:rsidR="008B54D4">
        <w:rPr>
          <w:color w:val="000000"/>
        </w:rPr>
        <w:t>,</w:t>
      </w:r>
      <w:r>
        <w:rPr>
          <w:color w:val="000000"/>
        </w:rPr>
        <w:t>” stating</w:t>
      </w:r>
      <w:r w:rsidR="008B54D4">
        <w:rPr>
          <w:color w:val="000000"/>
        </w:rPr>
        <w:t>,</w:t>
      </w:r>
      <w:r>
        <w:rPr>
          <w:color w:val="000000"/>
        </w:rPr>
        <w:t xml:space="preserve"> “I was director</w:t>
      </w:r>
      <w:r w:rsidR="008B54D4">
        <w:rPr>
          <w:color w:val="000000"/>
        </w:rPr>
        <w:t>,</w:t>
      </w:r>
      <w:r>
        <w:rPr>
          <w:color w:val="000000"/>
        </w:rPr>
        <w:t xml:space="preserve"> and I cannot count up all the settlements that the company entered into while I was a director</w:t>
      </w:r>
      <w:r w:rsidR="006A227C">
        <w:rPr>
          <w:color w:val="000000"/>
        </w:rPr>
        <w:t xml:space="preserve">.  </w:t>
      </w:r>
      <w:r>
        <w:rPr>
          <w:color w:val="000000"/>
        </w:rPr>
        <w:t>But there were many settlements</w:t>
      </w:r>
      <w:r w:rsidR="008B54D4">
        <w:rPr>
          <w:color w:val="000000"/>
        </w:rPr>
        <w:t>,</w:t>
      </w:r>
      <w:r>
        <w:rPr>
          <w:color w:val="000000"/>
        </w:rPr>
        <w:t xml:space="preserve"> both private and public</w:t>
      </w:r>
      <w:r w:rsidR="00FA79C1">
        <w:rPr>
          <w:color w:val="000000"/>
        </w:rPr>
        <w:t xml:space="preserve">.”  </w:t>
      </w:r>
    </w:p>
    <w:p w14:paraId="2C052E25" w14:textId="7229E94C" w:rsidR="00A77BBD" w:rsidRDefault="00A77BBD" w:rsidP="00A77BBD">
      <w:pPr>
        <w:pStyle w:val="BodyTextFirstIndent"/>
      </w:pPr>
      <w:r>
        <w:rPr>
          <w:color w:val="000000"/>
        </w:rPr>
        <w:t xml:space="preserve">The </w:t>
      </w:r>
      <w:r w:rsidR="00E82FD6">
        <w:rPr>
          <w:color w:val="000000"/>
        </w:rPr>
        <w:t>Packler</w:t>
      </w:r>
      <w:r>
        <w:rPr>
          <w:color w:val="000000"/>
        </w:rPr>
        <w:t>s vehemently deny any suggestion that any of these transfers would qualify as fraudulent</w:t>
      </w:r>
      <w:r w:rsidR="00354078">
        <w:rPr>
          <w:color w:val="000000"/>
        </w:rPr>
        <w:t xml:space="preserve"> transfers or</w:t>
      </w:r>
      <w:r>
        <w:rPr>
          <w:color w:val="000000"/>
        </w:rPr>
        <w:t xml:space="preserve"> conveyances</w:t>
      </w:r>
      <w:r w:rsidR="006A227C">
        <w:rPr>
          <w:color w:val="000000"/>
        </w:rPr>
        <w:t xml:space="preserve">.  </w:t>
      </w:r>
      <w:r>
        <w:rPr>
          <w:color w:val="000000"/>
        </w:rPr>
        <w:t>However</w:t>
      </w:r>
      <w:r w:rsidR="008B54D4">
        <w:rPr>
          <w:color w:val="000000"/>
        </w:rPr>
        <w:t>,</w:t>
      </w:r>
      <w:r>
        <w:rPr>
          <w:color w:val="000000"/>
        </w:rPr>
        <w:t xml:space="preserve"> in Addendum A to the 2020 “Settlement Agreement” with the DOJ</w:t>
      </w:r>
      <w:r w:rsidR="008B54D4">
        <w:rPr>
          <w:color w:val="000000"/>
        </w:rPr>
        <w:t>,</w:t>
      </w:r>
      <w:r>
        <w:rPr>
          <w:color w:val="000000"/>
        </w:rPr>
        <w:t xml:space="preserve"> the Government asserted its confidence that it could prove that:  “From approximately 2008 to 2018</w:t>
      </w:r>
      <w:r w:rsidR="008B54D4">
        <w:rPr>
          <w:color w:val="000000"/>
        </w:rPr>
        <w:t>,</w:t>
      </w:r>
      <w:r>
        <w:rPr>
          <w:color w:val="000000"/>
        </w:rPr>
        <w:t xml:space="preserve"> at the Named </w:t>
      </w:r>
      <w:r w:rsidR="00E82FD6">
        <w:rPr>
          <w:color w:val="000000"/>
        </w:rPr>
        <w:t>Packler</w:t>
      </w:r>
      <w:r>
        <w:rPr>
          <w:color w:val="000000"/>
        </w:rPr>
        <w:t>s</w:t>
      </w:r>
      <w:r w:rsidR="008B54D4">
        <w:rPr>
          <w:color w:val="000000"/>
        </w:rPr>
        <w:t>’</w:t>
      </w:r>
      <w:r>
        <w:rPr>
          <w:color w:val="000000"/>
        </w:rPr>
        <w:t xml:space="preserve"> request</w:t>
      </w:r>
      <w:r w:rsidR="008B54D4">
        <w:rPr>
          <w:color w:val="000000"/>
        </w:rPr>
        <w:t>,</w:t>
      </w:r>
      <w:r>
        <w:rPr>
          <w:color w:val="000000"/>
        </w:rPr>
        <w:t xml:space="preserve"> billions of dollars were transferred out of </w:t>
      </w:r>
      <w:r w:rsidR="006239B5">
        <w:rPr>
          <w:color w:val="000000"/>
        </w:rPr>
        <w:t>Oxy</w:t>
      </w:r>
      <w:r>
        <w:rPr>
          <w:color w:val="000000"/>
        </w:rPr>
        <w:t xml:space="preserve"> as cash distributions of profits and transfers of assets into </w:t>
      </w:r>
      <w:r w:rsidR="00E82FD6">
        <w:rPr>
          <w:color w:val="000000"/>
        </w:rPr>
        <w:t>Packler</w:t>
      </w:r>
      <w:r>
        <w:rPr>
          <w:color w:val="000000"/>
        </w:rPr>
        <w:t xml:space="preserve"> family holding companies and trusts</w:t>
      </w:r>
      <w:r w:rsidR="006A227C">
        <w:rPr>
          <w:color w:val="000000"/>
        </w:rPr>
        <w:t xml:space="preserve">.  </w:t>
      </w:r>
      <w:r>
        <w:rPr>
          <w:color w:val="000000"/>
        </w:rPr>
        <w:t>Certain of these distributions and transfers were made with the intent to hinder future creditors and/or were otherwise voidable as fraudulent transfers</w:t>
      </w:r>
      <w:r w:rsidR="00FA79C1">
        <w:rPr>
          <w:color w:val="000000"/>
        </w:rPr>
        <w:t xml:space="preserve">.”  </w:t>
      </w:r>
    </w:p>
    <w:p w14:paraId="74C2BD71" w14:textId="77777777" w:rsidR="006E23EA" w:rsidRDefault="00A77BBD" w:rsidP="00A77BBD">
      <w:pPr>
        <w:pStyle w:val="BodyTextFirstIndent"/>
        <w:rPr>
          <w:color w:val="000000"/>
        </w:rPr>
      </w:pPr>
      <w:r>
        <w:rPr>
          <w:color w:val="000000"/>
        </w:rPr>
        <w:t xml:space="preserve">The fact of these extensive transfers of money out of </w:t>
      </w:r>
      <w:r w:rsidR="006239B5">
        <w:rPr>
          <w:color w:val="000000"/>
        </w:rPr>
        <w:t>Oxy</w:t>
      </w:r>
      <w:r>
        <w:rPr>
          <w:color w:val="000000"/>
        </w:rPr>
        <w:t xml:space="preserve"> and into the family coffers is not contested</w:t>
      </w:r>
      <w:r w:rsidR="006A227C">
        <w:rPr>
          <w:color w:val="000000"/>
        </w:rPr>
        <w:t xml:space="preserve">.  </w:t>
      </w:r>
      <w:r>
        <w:rPr>
          <w:color w:val="000000"/>
        </w:rPr>
        <w:t>For example</w:t>
      </w:r>
      <w:r w:rsidR="008B54D4">
        <w:rPr>
          <w:color w:val="000000"/>
        </w:rPr>
        <w:t>,</w:t>
      </w:r>
      <w:r>
        <w:rPr>
          <w:color w:val="000000"/>
        </w:rPr>
        <w:t xml:space="preserve"> during the Confirmation Hearing</w:t>
      </w:r>
      <w:r w:rsidR="008B54D4">
        <w:rPr>
          <w:color w:val="000000"/>
        </w:rPr>
        <w:t>,</w:t>
      </w:r>
      <w:r>
        <w:rPr>
          <w:color w:val="000000"/>
        </w:rPr>
        <w:t xml:space="preserve"> when </w:t>
      </w:r>
      <w:r w:rsidR="00473ECA">
        <w:rPr>
          <w:color w:val="000000"/>
        </w:rPr>
        <w:t>Ron</w:t>
      </w:r>
      <w:r>
        <w:rPr>
          <w:color w:val="000000"/>
        </w:rPr>
        <w:t xml:space="preserve"> </w:t>
      </w:r>
      <w:r w:rsidR="00E82FD6">
        <w:rPr>
          <w:color w:val="000000"/>
        </w:rPr>
        <w:t>Packler</w:t>
      </w:r>
      <w:r>
        <w:rPr>
          <w:color w:val="000000"/>
        </w:rPr>
        <w:t xml:space="preserve"> was asked if it were “true that during that time period generally [2008-2018] </w:t>
      </w:r>
      <w:r w:rsidR="00110F91">
        <w:rPr>
          <w:color w:val="000000"/>
        </w:rPr>
        <w:t xml:space="preserve">. . . </w:t>
      </w:r>
      <w:r>
        <w:rPr>
          <w:color w:val="000000"/>
        </w:rPr>
        <w:t xml:space="preserve">the </w:t>
      </w:r>
      <w:r w:rsidR="006239B5">
        <w:rPr>
          <w:color w:val="000000"/>
        </w:rPr>
        <w:t>Oxy</w:t>
      </w:r>
      <w:r>
        <w:rPr>
          <w:color w:val="000000"/>
        </w:rPr>
        <w:t xml:space="preserve"> Board of Directors transferred out billions of dollars to </w:t>
      </w:r>
      <w:r w:rsidR="00E82FD6">
        <w:rPr>
          <w:color w:val="000000"/>
        </w:rPr>
        <w:t>Packler</w:t>
      </w:r>
      <w:r>
        <w:rPr>
          <w:color w:val="000000"/>
        </w:rPr>
        <w:t xml:space="preserve"> family trusts or holding companies</w:t>
      </w:r>
      <w:r w:rsidR="008B54D4">
        <w:rPr>
          <w:color w:val="000000"/>
        </w:rPr>
        <w:t>,</w:t>
      </w:r>
      <w:r>
        <w:rPr>
          <w:color w:val="000000"/>
        </w:rPr>
        <w:t>” he answered</w:t>
      </w:r>
      <w:r w:rsidR="008B54D4">
        <w:rPr>
          <w:color w:val="000000"/>
        </w:rPr>
        <w:t>,</w:t>
      </w:r>
      <w:r>
        <w:rPr>
          <w:color w:val="000000"/>
        </w:rPr>
        <w:t xml:space="preserve"> “Yes </w:t>
      </w:r>
      <w:r w:rsidR="00110F91">
        <w:rPr>
          <w:color w:val="000000"/>
        </w:rPr>
        <w:t xml:space="preserve">. . . </w:t>
      </w:r>
      <w:r>
        <w:rPr>
          <w:color w:val="000000"/>
        </w:rPr>
        <w:t>yes</w:t>
      </w:r>
      <w:r w:rsidR="008B54D4">
        <w:rPr>
          <w:color w:val="000000"/>
        </w:rPr>
        <w:t>,</w:t>
      </w:r>
      <w:r>
        <w:rPr>
          <w:color w:val="000000"/>
        </w:rPr>
        <w:t xml:space="preserve"> that we did</w:t>
      </w:r>
      <w:r w:rsidR="00FA79C1">
        <w:rPr>
          <w:color w:val="000000"/>
        </w:rPr>
        <w:t xml:space="preserve">.”  </w:t>
      </w:r>
      <w:r>
        <w:rPr>
          <w:color w:val="000000"/>
        </w:rPr>
        <w:t xml:space="preserve">Only whether those transfers (or any of them) would qualify as fraudulent </w:t>
      </w:r>
      <w:r w:rsidR="00354078">
        <w:rPr>
          <w:color w:val="000000"/>
        </w:rPr>
        <w:t xml:space="preserve">transfers or </w:t>
      </w:r>
      <w:r>
        <w:rPr>
          <w:color w:val="000000"/>
        </w:rPr>
        <w:t>conveyances is in dispute</w:t>
      </w:r>
      <w:r w:rsidR="006A227C">
        <w:rPr>
          <w:color w:val="000000"/>
        </w:rPr>
        <w:t xml:space="preserve">.  </w:t>
      </w:r>
    </w:p>
    <w:p w14:paraId="5DC7FF41" w14:textId="2423A46A" w:rsidR="00A77BBD" w:rsidRDefault="00354078" w:rsidP="00A77BBD">
      <w:pPr>
        <w:pStyle w:val="BodyTextFirstIndent"/>
      </w:pPr>
      <w:r>
        <w:rPr>
          <w:color w:val="000000"/>
        </w:rPr>
        <w:t>A</w:t>
      </w:r>
      <w:r w:rsidR="00A77BBD">
        <w:rPr>
          <w:color w:val="000000"/>
        </w:rPr>
        <w:t xml:space="preserve">t some point - certainly by 2018 - </w:t>
      </w:r>
      <w:r w:rsidR="006239B5">
        <w:rPr>
          <w:color w:val="000000"/>
        </w:rPr>
        <w:t>Oxy</w:t>
      </w:r>
      <w:r w:rsidR="00A77BBD">
        <w:rPr>
          <w:color w:val="000000"/>
        </w:rPr>
        <w:t xml:space="preserve"> itself was in a precarious financial position in face of the lawsuits</w:t>
      </w:r>
      <w:r w:rsidR="006A227C">
        <w:rPr>
          <w:color w:val="000000"/>
        </w:rPr>
        <w:t xml:space="preserve">.  </w:t>
      </w:r>
      <w:r w:rsidR="00A77BBD">
        <w:rPr>
          <w:color w:val="000000"/>
        </w:rPr>
        <w:t>At the time of the bankruptcy filing</w:t>
      </w:r>
      <w:r w:rsidR="008B54D4">
        <w:rPr>
          <w:color w:val="000000"/>
        </w:rPr>
        <w:t>,</w:t>
      </w:r>
      <w:r w:rsidR="00A77BBD">
        <w:rPr>
          <w:color w:val="000000"/>
        </w:rPr>
        <w:t xml:space="preserve"> </w:t>
      </w:r>
      <w:r w:rsidR="006239B5">
        <w:rPr>
          <w:color w:val="000000"/>
        </w:rPr>
        <w:t>Oxy</w:t>
      </w:r>
      <w:r w:rsidR="00A77BBD">
        <w:rPr>
          <w:color w:val="000000"/>
        </w:rPr>
        <w:t xml:space="preserve"> represented that</w:t>
      </w:r>
      <w:r w:rsidR="008B54D4">
        <w:rPr>
          <w:color w:val="000000"/>
        </w:rPr>
        <w:t>,</w:t>
      </w:r>
      <w:r w:rsidR="00A77BBD">
        <w:rPr>
          <w:color w:val="000000"/>
        </w:rPr>
        <w:t xml:space="preserve"> while it had “no funded debt and no material past due trade obligations” - or even any “judgment creditors” - “the onslaught of lawsuits has proved unmanageable” and “will result only in the financial and operational destruction of the Debtors and the immense value they could otherwise provide</w:t>
      </w:r>
      <w:r>
        <w:rPr>
          <w:color w:val="000000"/>
        </w:rPr>
        <w:t>.</w:t>
      </w:r>
      <w:r w:rsidR="006E23EA">
        <w:rPr>
          <w:color w:val="000000"/>
        </w:rPr>
        <w:t xml:space="preserve"> . . .</w:t>
      </w:r>
      <w:r w:rsidR="005B0788">
        <w:rPr>
          <w:color w:val="000000"/>
        </w:rPr>
        <w:t>”</w:t>
      </w:r>
      <w:r w:rsidR="00A77BBD">
        <w:rPr>
          <w:color w:val="000000"/>
        </w:rPr>
        <w:t xml:space="preserve"> </w:t>
      </w:r>
    </w:p>
    <w:p w14:paraId="5C985B32" w14:textId="7989F8E5" w:rsidR="00A77BBD" w:rsidRDefault="00A77BBD" w:rsidP="008E21E5">
      <w:pPr>
        <w:pStyle w:val="Heading3"/>
      </w:pPr>
      <w:r>
        <w:t xml:space="preserve">A Pre-Petition Settlement Framework Is Proposed That Would Release the </w:t>
      </w:r>
      <w:r w:rsidR="00E82FD6">
        <w:t>Packler</w:t>
      </w:r>
      <w:r>
        <w:t xml:space="preserve"> Family From Liability.</w:t>
      </w:r>
    </w:p>
    <w:p w14:paraId="5BEF6D4C" w14:textId="0FCC0E8D" w:rsidR="00A77BBD" w:rsidRDefault="00A77BBD" w:rsidP="00A77BBD">
      <w:pPr>
        <w:pStyle w:val="BodyTextFirstIndent"/>
      </w:pPr>
      <w:r>
        <w:rPr>
          <w:color w:val="000000"/>
        </w:rPr>
        <w:t xml:space="preserve">In the months before </w:t>
      </w:r>
      <w:r w:rsidR="006239B5">
        <w:rPr>
          <w:color w:val="000000"/>
        </w:rPr>
        <w:t>Oxy</w:t>
      </w:r>
      <w:r>
        <w:rPr>
          <w:color w:val="000000"/>
        </w:rPr>
        <w:t xml:space="preserve"> filed for bankruptcy</w:t>
      </w:r>
      <w:r w:rsidR="008B54D4">
        <w:rPr>
          <w:color w:val="000000"/>
        </w:rPr>
        <w:t>,</w:t>
      </w:r>
      <w:r>
        <w:rPr>
          <w:color w:val="000000"/>
        </w:rPr>
        <w:t xml:space="preserve"> </w:t>
      </w:r>
      <w:r w:rsidR="006239B5">
        <w:rPr>
          <w:color w:val="000000"/>
        </w:rPr>
        <w:t>Oxy</w:t>
      </w:r>
      <w:r w:rsidR="008B54D4">
        <w:rPr>
          <w:color w:val="000000"/>
        </w:rPr>
        <w:t>,</w:t>
      </w:r>
      <w:r>
        <w:rPr>
          <w:color w:val="000000"/>
        </w:rPr>
        <w:t xml:space="preserve"> the </w:t>
      </w:r>
      <w:r w:rsidR="00E82FD6">
        <w:rPr>
          <w:color w:val="000000"/>
        </w:rPr>
        <w:t>Packler</w:t>
      </w:r>
      <w:r>
        <w:rPr>
          <w:color w:val="000000"/>
        </w:rPr>
        <w:t xml:space="preserve"> family (now no longer represented on </w:t>
      </w:r>
      <w:r w:rsidR="006239B5">
        <w:rPr>
          <w:color w:val="000000"/>
        </w:rPr>
        <w:t>Oxy</w:t>
      </w:r>
      <w:r w:rsidR="008B54D4">
        <w:rPr>
          <w:color w:val="000000"/>
        </w:rPr>
        <w:t>’</w:t>
      </w:r>
      <w:r>
        <w:rPr>
          <w:color w:val="000000"/>
        </w:rPr>
        <w:t xml:space="preserve">s Board) and </w:t>
      </w:r>
      <w:r w:rsidR="00E82FD6">
        <w:rPr>
          <w:color w:val="000000"/>
        </w:rPr>
        <w:t>Packler</w:t>
      </w:r>
      <w:r>
        <w:rPr>
          <w:color w:val="000000"/>
        </w:rPr>
        <w:t xml:space="preserve"> </w:t>
      </w:r>
      <w:r w:rsidR="00561CFB">
        <w:rPr>
          <w:color w:val="000000"/>
        </w:rPr>
        <w:t>related</w:t>
      </w:r>
      <w:r>
        <w:rPr>
          <w:color w:val="000000"/>
        </w:rPr>
        <w:t xml:space="preserve">entities were engaged in discussions about a potential framework for settlement of all claims against </w:t>
      </w:r>
      <w:r w:rsidR="006239B5">
        <w:rPr>
          <w:color w:val="000000"/>
        </w:rPr>
        <w:t>Oxy</w:t>
      </w:r>
      <w:r>
        <w:rPr>
          <w:color w:val="000000"/>
        </w:rPr>
        <w:t xml:space="preserve"> and the </w:t>
      </w:r>
      <w:r w:rsidR="00E82FD6">
        <w:rPr>
          <w:color w:val="000000"/>
        </w:rPr>
        <w:t>Packler</w:t>
      </w:r>
      <w:r>
        <w:rPr>
          <w:color w:val="000000"/>
        </w:rPr>
        <w:t>s with “the various parties in the MDL litigation” and certain “subgroups” of creditors and potential creditors</w:t>
      </w:r>
      <w:r w:rsidR="006A227C">
        <w:rPr>
          <w:color w:val="000000"/>
        </w:rPr>
        <w:t xml:space="preserve">.  </w:t>
      </w:r>
      <w:r>
        <w:rPr>
          <w:color w:val="000000"/>
        </w:rPr>
        <w:t>John D</w:t>
      </w:r>
      <w:r w:rsidR="00F9715F">
        <w:rPr>
          <w:color w:val="000000"/>
        </w:rPr>
        <w:t>ouble</w:t>
      </w:r>
      <w:r w:rsidR="00561CFB">
        <w:rPr>
          <w:color w:val="000000"/>
        </w:rPr>
        <w:t>, the Chairman of the Special Committee of the Board,</w:t>
      </w:r>
      <w:r w:rsidR="00F9715F">
        <w:rPr>
          <w:color w:val="000000"/>
        </w:rPr>
        <w:t xml:space="preserve"> </w:t>
      </w:r>
      <w:r>
        <w:rPr>
          <w:color w:val="000000"/>
        </w:rPr>
        <w:t>testified in the Confirmation Hearing</w:t>
      </w:r>
      <w:r>
        <w:rPr>
          <w:rStyle w:val="FootnoteReference"/>
          <w:rFonts w:eastAsia="Times New Roman" w:cs="Times New Roman"/>
          <w:color w:val="000000"/>
          <w:vertAlign w:val="superscript"/>
        </w:rPr>
        <w:footnoteReference w:id="14"/>
      </w:r>
      <w:r>
        <w:rPr>
          <w:color w:val="000000"/>
        </w:rPr>
        <w:t xml:space="preserve"> that the pre-petition settlement framework discussions involved the concept of third- party releases </w:t>
      </w:r>
      <w:r>
        <w:rPr>
          <w:i/>
          <w:iCs/>
          <w:color w:val="000000"/>
        </w:rPr>
        <w:t>and</w:t>
      </w:r>
      <w:r>
        <w:rPr>
          <w:color w:val="000000"/>
        </w:rPr>
        <w:t xml:space="preserve"> the concept of using the bankruptcy process to release all claims against the </w:t>
      </w:r>
      <w:r w:rsidR="00E82FD6">
        <w:rPr>
          <w:color w:val="000000"/>
        </w:rPr>
        <w:t>Packler</w:t>
      </w:r>
      <w:r>
        <w:rPr>
          <w:color w:val="000000"/>
        </w:rPr>
        <w:t>s in exchange for their contribution of funding to the settlement</w:t>
      </w:r>
      <w:r w:rsidR="006A227C">
        <w:rPr>
          <w:color w:val="000000"/>
        </w:rPr>
        <w:t xml:space="preserve">.  </w:t>
      </w:r>
      <w:r>
        <w:rPr>
          <w:color w:val="000000"/>
        </w:rPr>
        <w:t>Mr</w:t>
      </w:r>
      <w:r w:rsidR="006A227C">
        <w:rPr>
          <w:color w:val="000000"/>
        </w:rPr>
        <w:t xml:space="preserve">.  </w:t>
      </w:r>
      <w:r w:rsidR="00F9715F">
        <w:rPr>
          <w:color w:val="000000"/>
        </w:rPr>
        <w:t>Double</w:t>
      </w:r>
      <w:r>
        <w:rPr>
          <w:color w:val="000000"/>
        </w:rPr>
        <w:t xml:space="preserve"> explained:</w:t>
      </w:r>
    </w:p>
    <w:p w14:paraId="0B40D82D" w14:textId="115CA456" w:rsidR="00A77BBD" w:rsidRDefault="00A77BBD" w:rsidP="008E21E5">
      <w:pPr>
        <w:pStyle w:val="BlockText"/>
      </w:pPr>
      <w:r>
        <w:t xml:space="preserve">[I]t was very clear from the </w:t>
      </w:r>
      <w:r w:rsidR="00110F91">
        <w:t xml:space="preserve">. . . </w:t>
      </w:r>
      <w:r w:rsidR="00E82FD6">
        <w:t>Packler</w:t>
      </w:r>
      <w:r>
        <w:t>s that if they were going to post up X amount of dollars - and I believe at the time</w:t>
      </w:r>
      <w:r w:rsidR="008B54D4">
        <w:t>,</w:t>
      </w:r>
      <w:r>
        <w:t xml:space="preserve"> the settlement framework was somewhere around $3 billion or so - that </w:t>
      </w:r>
      <w:r w:rsidRPr="008E21E5">
        <w:t>they</w:t>
      </w:r>
      <w:r>
        <w:t xml:space="preserve"> were going to seek broad third party releases</w:t>
      </w:r>
      <w:r w:rsidR="008B54D4">
        <w:t>,</w:t>
      </w:r>
      <w:r>
        <w:t xml:space="preserve"> and releases from the Debtors</w:t>
      </w:r>
      <w:r w:rsidR="008B54D4">
        <w:t>,</w:t>
      </w:r>
      <w:r>
        <w:t xml:space="preserve"> releases of all the estate claims</w:t>
      </w:r>
      <w:r w:rsidR="008B54D4">
        <w:t>,</w:t>
      </w:r>
      <w:r>
        <w:t xml:space="preserve"> etc.</w:t>
      </w:r>
      <w:r w:rsidR="008B54D4">
        <w:t>,</w:t>
      </w:r>
      <w:r>
        <w:t xml:space="preserve"> so that they could be able to put all of that - all of the litigation behind them </w:t>
      </w:r>
      <w:r w:rsidR="00110F91">
        <w:t xml:space="preserve">. . . </w:t>
      </w:r>
      <w:r>
        <w:rPr>
          <w:i/>
          <w:iCs/>
        </w:rPr>
        <w:t>it was something that was a prerequisite or a condition to them posting the amount of money that was in the settlement framework</w:t>
      </w:r>
      <w:r>
        <w:t xml:space="preserve"> and then ultimately what is in the plan of organization we were seeking approval of.</w:t>
      </w:r>
    </w:p>
    <w:p w14:paraId="313057A7" w14:textId="038D7AF6" w:rsidR="00A77BBD" w:rsidRDefault="00A77BBD" w:rsidP="00A77BBD">
      <w:pPr>
        <w:pStyle w:val="BodyTextFirstIndent"/>
      </w:pPr>
      <w:r>
        <w:rPr>
          <w:color w:val="000000"/>
        </w:rPr>
        <w:t xml:space="preserve">So the </w:t>
      </w:r>
      <w:r w:rsidR="00E82FD6">
        <w:rPr>
          <w:color w:val="000000"/>
        </w:rPr>
        <w:t>Packler</w:t>
      </w:r>
      <w:r>
        <w:rPr>
          <w:color w:val="000000"/>
        </w:rPr>
        <w:t xml:space="preserve">s made it clear well before the Debtors filed for chapter 11 bankruptcy that they would contribute toward </w:t>
      </w:r>
      <w:r w:rsidR="006239B5">
        <w:rPr>
          <w:color w:val="000000"/>
        </w:rPr>
        <w:t>Oxy</w:t>
      </w:r>
      <w:r w:rsidR="008B54D4">
        <w:rPr>
          <w:color w:val="000000"/>
        </w:rPr>
        <w:t>’</w:t>
      </w:r>
      <w:r>
        <w:rPr>
          <w:color w:val="000000"/>
        </w:rPr>
        <w:t>s bankruptcy estate only if they received blanket releases that would put “all of the litigation behind them</w:t>
      </w:r>
      <w:r w:rsidR="00FA79C1">
        <w:rPr>
          <w:color w:val="000000"/>
        </w:rPr>
        <w:t xml:space="preserve">.”  </w:t>
      </w:r>
      <w:r>
        <w:rPr>
          <w:color w:val="000000"/>
        </w:rPr>
        <w:t>This was reported heavily in the press at the time of the bankruptcy filing.</w:t>
      </w:r>
    </w:p>
    <w:p w14:paraId="269F7883" w14:textId="42316FDA" w:rsidR="00A77BBD" w:rsidRDefault="00A77BBD" w:rsidP="00A77BBD">
      <w:pPr>
        <w:pStyle w:val="BodyTextFirstIndent"/>
      </w:pPr>
      <w:r>
        <w:rPr>
          <w:color w:val="000000"/>
        </w:rPr>
        <w:t>This pre-petition settlement framework was then imported into the bankruptcy process</w:t>
      </w:r>
      <w:r w:rsidR="006A227C">
        <w:rPr>
          <w:color w:val="000000"/>
        </w:rPr>
        <w:t xml:space="preserve">.  </w:t>
      </w:r>
      <w:r>
        <w:rPr>
          <w:color w:val="000000"/>
        </w:rPr>
        <w:t>As Mr</w:t>
      </w:r>
      <w:r w:rsidR="006A227C">
        <w:rPr>
          <w:color w:val="000000"/>
        </w:rPr>
        <w:t xml:space="preserve">. </w:t>
      </w:r>
      <w:r w:rsidR="00F9715F">
        <w:rPr>
          <w:color w:val="000000"/>
        </w:rPr>
        <w:t>Double</w:t>
      </w:r>
      <w:r>
        <w:rPr>
          <w:color w:val="000000"/>
        </w:rPr>
        <w:t xml:space="preserve"> testified</w:t>
      </w:r>
      <w:r w:rsidR="008B54D4">
        <w:rPr>
          <w:color w:val="000000"/>
        </w:rPr>
        <w:t>,</w:t>
      </w:r>
      <w:r>
        <w:rPr>
          <w:color w:val="000000"/>
        </w:rPr>
        <w:t xml:space="preserve"> once a pre-petition settlement framework was created</w:t>
      </w:r>
      <w:r w:rsidR="008B54D4">
        <w:rPr>
          <w:color w:val="000000"/>
        </w:rPr>
        <w:t>,</w:t>
      </w:r>
      <w:r>
        <w:rPr>
          <w:color w:val="000000"/>
        </w:rPr>
        <w:t xml:space="preserve"> the plan was to “</w:t>
      </w:r>
      <w:r w:rsidR="00561CFB">
        <w:rPr>
          <w:color w:val="000000"/>
        </w:rPr>
        <w:t>u</w:t>
      </w:r>
      <w:r>
        <w:rPr>
          <w:color w:val="000000"/>
        </w:rPr>
        <w:t xml:space="preserve">s[e] the Chapter 11 process to enable us to then organize all of the various claimants into one group under </w:t>
      </w:r>
      <w:r w:rsidR="00110F91">
        <w:rPr>
          <w:color w:val="000000"/>
        </w:rPr>
        <w:t xml:space="preserve">. . . </w:t>
      </w:r>
      <w:r>
        <w:rPr>
          <w:color w:val="000000"/>
        </w:rPr>
        <w:t>the auspices of the Chapter 11 bankruptcy process</w:t>
      </w:r>
      <w:r w:rsidR="00FA79C1">
        <w:rPr>
          <w:color w:val="000000"/>
        </w:rPr>
        <w:t xml:space="preserve">.”  </w:t>
      </w:r>
      <w:r>
        <w:rPr>
          <w:color w:val="000000"/>
        </w:rPr>
        <w:t>He further explained that</w:t>
      </w:r>
      <w:r w:rsidR="008B54D4">
        <w:rPr>
          <w:color w:val="000000"/>
        </w:rPr>
        <w:t>,</w:t>
      </w:r>
      <w:r>
        <w:rPr>
          <w:color w:val="000000"/>
        </w:rPr>
        <w:t xml:space="preserve"> “</w:t>
      </w:r>
      <w:r w:rsidR="00561CFB">
        <w:rPr>
          <w:color w:val="000000"/>
        </w:rPr>
        <w:t>i</w:t>
      </w:r>
      <w:r>
        <w:rPr>
          <w:color w:val="000000"/>
        </w:rPr>
        <w:t xml:space="preserve">t was the framework that would help us </w:t>
      </w:r>
      <w:r w:rsidR="00561CFB">
        <w:rPr>
          <w:color w:val="000000"/>
        </w:rPr>
        <w:t>co</w:t>
      </w:r>
      <w:r w:rsidR="003B7D4B">
        <w:rPr>
          <w:color w:val="000000"/>
        </w:rPr>
        <w:t>ntin</w:t>
      </w:r>
      <w:r>
        <w:rPr>
          <w:color w:val="000000"/>
        </w:rPr>
        <w:t xml:space="preserve">ue to bring all of the various creditor groups towards a decision as to whether it was better to litigate against the </w:t>
      </w:r>
      <w:r w:rsidR="00E82FD6">
        <w:rPr>
          <w:color w:val="000000"/>
        </w:rPr>
        <w:t>Packler</w:t>
      </w:r>
      <w:r>
        <w:rPr>
          <w:color w:val="000000"/>
        </w:rPr>
        <w:t>s or attempt to come up with a settlement that would be fair and equitable for all the creditors of the Debtor</w:t>
      </w:r>
      <w:r w:rsidR="008B54D4">
        <w:rPr>
          <w:color w:val="000000"/>
        </w:rPr>
        <w:t>’</w:t>
      </w:r>
      <w:r>
        <w:rPr>
          <w:color w:val="000000"/>
        </w:rPr>
        <w:t>s estates</w:t>
      </w:r>
      <w:r w:rsidR="00FA79C1">
        <w:rPr>
          <w:color w:val="000000"/>
        </w:rPr>
        <w:t xml:space="preserve">.”  </w:t>
      </w:r>
      <w:r>
        <w:rPr>
          <w:color w:val="000000"/>
        </w:rPr>
        <w:t xml:space="preserve">He testified that some 24 states “were supportive of us moving forward in the process of filing a Chapter 11 and using this [bankruptcy] as a means of coalescing all the parties into one organized spot to address the potential claims that the estates would have against the </w:t>
      </w:r>
      <w:r w:rsidR="00E82FD6">
        <w:rPr>
          <w:color w:val="000000"/>
        </w:rPr>
        <w:t>Packler</w:t>
      </w:r>
      <w:r>
        <w:rPr>
          <w:color w:val="000000"/>
        </w:rPr>
        <w:t>s</w:t>
      </w:r>
      <w:r w:rsidR="00FA79C1">
        <w:rPr>
          <w:color w:val="000000"/>
        </w:rPr>
        <w:t xml:space="preserve">.”  </w:t>
      </w:r>
    </w:p>
    <w:p w14:paraId="4EDF0112" w14:textId="1EE9712D" w:rsidR="00A77BBD" w:rsidRDefault="006239B5" w:rsidP="00A77BBD">
      <w:pPr>
        <w:pStyle w:val="BodyTextFirstIndent"/>
      </w:pPr>
      <w:r>
        <w:rPr>
          <w:color w:val="000000"/>
        </w:rPr>
        <w:t>Oxy</w:t>
      </w:r>
      <w:r w:rsidR="008B54D4">
        <w:rPr>
          <w:color w:val="000000"/>
        </w:rPr>
        <w:t>’</w:t>
      </w:r>
      <w:r w:rsidR="00A77BBD">
        <w:rPr>
          <w:color w:val="000000"/>
        </w:rPr>
        <w:t xml:space="preserve">s bankruptcy was thus a critical part of a strategy to secure for the </w:t>
      </w:r>
      <w:r w:rsidR="00E82FD6">
        <w:rPr>
          <w:color w:val="000000"/>
        </w:rPr>
        <w:t>Packler</w:t>
      </w:r>
      <w:r w:rsidR="00A77BBD">
        <w:rPr>
          <w:color w:val="000000"/>
        </w:rPr>
        <w:t>s a release from any liability for past and even future opioid-related litigation without having to pursue personal bankruptcy</w:t>
      </w:r>
      <w:r w:rsidR="006A227C">
        <w:rPr>
          <w:color w:val="000000"/>
        </w:rPr>
        <w:t xml:space="preserve">.  </w:t>
      </w:r>
      <w:r w:rsidR="00A77BBD">
        <w:rPr>
          <w:color w:val="000000"/>
        </w:rPr>
        <w:t xml:space="preserve">David </w:t>
      </w:r>
      <w:r w:rsidR="00E82FD6">
        <w:rPr>
          <w:color w:val="000000"/>
        </w:rPr>
        <w:t>Packler</w:t>
      </w:r>
      <w:r w:rsidR="00A77BBD">
        <w:rPr>
          <w:color w:val="000000"/>
        </w:rPr>
        <w:t xml:space="preserve"> acknowledged as much in his testimony</w:t>
      </w:r>
      <w:r w:rsidR="008B54D4">
        <w:rPr>
          <w:color w:val="000000"/>
        </w:rPr>
        <w:t>,</w:t>
      </w:r>
      <w:r w:rsidR="00A77BBD">
        <w:rPr>
          <w:color w:val="000000"/>
        </w:rPr>
        <w:t xml:space="preserve"> “I don</w:t>
      </w:r>
      <w:r w:rsidR="008B54D4">
        <w:rPr>
          <w:color w:val="000000"/>
        </w:rPr>
        <w:t>’</w:t>
      </w:r>
      <w:r w:rsidR="00A77BBD">
        <w:rPr>
          <w:color w:val="000000"/>
        </w:rPr>
        <w:t>t know of another forum that would allow this kind of global solution</w:t>
      </w:r>
      <w:r w:rsidR="008B54D4">
        <w:rPr>
          <w:color w:val="000000"/>
        </w:rPr>
        <w:t>,</w:t>
      </w:r>
      <w:r w:rsidR="00A77BBD">
        <w:rPr>
          <w:color w:val="000000"/>
        </w:rPr>
        <w:t xml:space="preserve"> this kind of equitable solution for all parties</w:t>
      </w:r>
      <w:r w:rsidR="00FA79C1">
        <w:rPr>
          <w:color w:val="000000"/>
        </w:rPr>
        <w:t xml:space="preserve">.”  </w:t>
      </w:r>
    </w:p>
    <w:p w14:paraId="5C38F451" w14:textId="32D11AB9" w:rsidR="00A77BBD" w:rsidRDefault="00A77BBD" w:rsidP="008E21E5">
      <w:pPr>
        <w:pStyle w:val="Heading2"/>
      </w:pPr>
      <w:r>
        <w:t>The Underlying Bankruptcy</w:t>
      </w:r>
    </w:p>
    <w:p w14:paraId="1001AD08" w14:textId="59FB40A3" w:rsidR="00A77BBD" w:rsidRDefault="00A77BBD" w:rsidP="00A77BBD">
      <w:pPr>
        <w:pStyle w:val="BodyTextFirstIndent"/>
      </w:pPr>
      <w:r>
        <w:rPr>
          <w:color w:val="000000"/>
        </w:rPr>
        <w:t xml:space="preserve">Facing the mounting lawsuits against both </w:t>
      </w:r>
      <w:r w:rsidR="006239B5">
        <w:rPr>
          <w:color w:val="000000"/>
        </w:rPr>
        <w:t>Oxy</w:t>
      </w:r>
      <w:r>
        <w:rPr>
          <w:color w:val="000000"/>
        </w:rPr>
        <w:t xml:space="preserve"> and members of the </w:t>
      </w:r>
      <w:r w:rsidR="00E82FD6">
        <w:rPr>
          <w:color w:val="000000"/>
        </w:rPr>
        <w:t>Packler</w:t>
      </w:r>
      <w:r>
        <w:rPr>
          <w:color w:val="000000"/>
        </w:rPr>
        <w:t xml:space="preserve"> family in the </w:t>
      </w:r>
      <w:r w:rsidR="002F10FB">
        <w:rPr>
          <w:color w:val="000000"/>
        </w:rPr>
        <w:t xml:space="preserve">U.S. </w:t>
      </w:r>
      <w:r>
        <w:rPr>
          <w:color w:val="000000"/>
        </w:rPr>
        <w:t>and abroad</w:t>
      </w:r>
      <w:r w:rsidR="008B54D4">
        <w:rPr>
          <w:color w:val="000000"/>
        </w:rPr>
        <w:t>,</w:t>
      </w:r>
      <w:r>
        <w:rPr>
          <w:color w:val="000000"/>
        </w:rPr>
        <w:t xml:space="preserve"> certain </w:t>
      </w:r>
      <w:r w:rsidR="002F10FB">
        <w:rPr>
          <w:color w:val="000000"/>
        </w:rPr>
        <w:t xml:space="preserve">U.S. </w:t>
      </w:r>
      <w:r>
        <w:rPr>
          <w:color w:val="000000"/>
        </w:rPr>
        <w:t xml:space="preserve">based </w:t>
      </w:r>
      <w:r w:rsidR="006239B5">
        <w:rPr>
          <w:color w:val="000000"/>
        </w:rPr>
        <w:t>Oxy</w:t>
      </w:r>
      <w:r>
        <w:rPr>
          <w:color w:val="000000"/>
        </w:rPr>
        <w:t xml:space="preserve"> entities (Debtors) filed for bankruptcy relief on September 15</w:t>
      </w:r>
      <w:r w:rsidR="008B54D4">
        <w:rPr>
          <w:color w:val="000000"/>
        </w:rPr>
        <w:t>,</w:t>
      </w:r>
      <w:r>
        <w:rPr>
          <w:color w:val="000000"/>
        </w:rPr>
        <w:t xml:space="preserve"> 2019</w:t>
      </w:r>
      <w:r w:rsidR="006A227C">
        <w:rPr>
          <w:color w:val="000000"/>
        </w:rPr>
        <w:t xml:space="preserve">.  </w:t>
      </w:r>
      <w:r>
        <w:rPr>
          <w:color w:val="000000"/>
        </w:rPr>
        <w:t xml:space="preserve">Members of the </w:t>
      </w:r>
      <w:r w:rsidR="00E82FD6">
        <w:rPr>
          <w:color w:val="000000"/>
        </w:rPr>
        <w:t>Packler</w:t>
      </w:r>
      <w:r>
        <w:rPr>
          <w:color w:val="000000"/>
        </w:rPr>
        <w:t xml:space="preserve"> family and </w:t>
      </w:r>
      <w:r w:rsidR="00F9715F">
        <w:rPr>
          <w:color w:val="000000"/>
        </w:rPr>
        <w:t xml:space="preserve">certain </w:t>
      </w:r>
      <w:r w:rsidR="00E82FD6">
        <w:rPr>
          <w:color w:val="000000"/>
        </w:rPr>
        <w:t>Packler</w:t>
      </w:r>
      <w:r>
        <w:rPr>
          <w:color w:val="000000"/>
        </w:rPr>
        <w:t xml:space="preserve"> entities did not file for bankruptcy</w:t>
      </w:r>
      <w:r w:rsidR="008B54D4">
        <w:rPr>
          <w:color w:val="000000"/>
        </w:rPr>
        <w:t>,</w:t>
      </w:r>
      <w:r>
        <w:rPr>
          <w:color w:val="000000"/>
        </w:rPr>
        <w:t xml:space="preserve"> despite having been named as defendants in opioid-related lawsuits.</w:t>
      </w:r>
    </w:p>
    <w:p w14:paraId="2B57CB13" w14:textId="267A79DE" w:rsidR="00A77BBD" w:rsidRDefault="00A77BBD" w:rsidP="008E21E5">
      <w:pPr>
        <w:pStyle w:val="Heading3"/>
      </w:pPr>
      <w:r>
        <w:t xml:space="preserve">Pending Actions Against </w:t>
      </w:r>
      <w:r w:rsidR="006239B5">
        <w:t>Oxy</w:t>
      </w:r>
      <w:r>
        <w:t xml:space="preserve"> and Members of the </w:t>
      </w:r>
      <w:r w:rsidR="00E82FD6">
        <w:t>Packler</w:t>
      </w:r>
      <w:r>
        <w:t xml:space="preserve"> Family Are Halted</w:t>
      </w:r>
    </w:p>
    <w:p w14:paraId="62165019" w14:textId="68CDA609" w:rsidR="00A77BBD" w:rsidRDefault="006239B5" w:rsidP="00A77BBD">
      <w:pPr>
        <w:pStyle w:val="BodyTextFirstIndent"/>
      </w:pPr>
      <w:r>
        <w:rPr>
          <w:color w:val="000000"/>
        </w:rPr>
        <w:t>Oxy</w:t>
      </w:r>
      <w:r w:rsidR="00A77BBD">
        <w:rPr>
          <w:color w:val="000000"/>
        </w:rPr>
        <w:t xml:space="preserve"> quickly moved on September 18</w:t>
      </w:r>
      <w:r w:rsidR="008B54D4">
        <w:rPr>
          <w:color w:val="000000"/>
        </w:rPr>
        <w:t>,</w:t>
      </w:r>
      <w:r w:rsidR="00A77BBD">
        <w:rPr>
          <w:color w:val="000000"/>
        </w:rPr>
        <w:t xml:space="preserve"> 2019</w:t>
      </w:r>
      <w:r w:rsidR="008B54D4">
        <w:rPr>
          <w:color w:val="000000"/>
        </w:rPr>
        <w:t>,</w:t>
      </w:r>
      <w:r w:rsidR="00A77BBD">
        <w:rPr>
          <w:color w:val="000000"/>
        </w:rPr>
        <w:t xml:space="preserve"> before the Bankruptcy Court for an injunction halting all actions against </w:t>
      </w:r>
      <w:r>
        <w:rPr>
          <w:color w:val="000000"/>
        </w:rPr>
        <w:t>Oxy</w:t>
      </w:r>
      <w:r w:rsidR="00A77BBD">
        <w:rPr>
          <w:color w:val="000000"/>
        </w:rPr>
        <w:t xml:space="preserve"> as well as “against their current and former owners (including any trusts and their respective trustees and beneficiaries)</w:t>
      </w:r>
      <w:r w:rsidR="008B54D4">
        <w:rPr>
          <w:color w:val="000000"/>
        </w:rPr>
        <w:t>,</w:t>
      </w:r>
      <w:r w:rsidR="00A77BBD">
        <w:rPr>
          <w:color w:val="000000"/>
        </w:rPr>
        <w:t xml:space="preserve"> officers</w:t>
      </w:r>
      <w:r w:rsidR="008B54D4">
        <w:rPr>
          <w:color w:val="000000"/>
        </w:rPr>
        <w:t>,</w:t>
      </w:r>
      <w:r w:rsidR="00A77BBD">
        <w:rPr>
          <w:color w:val="000000"/>
        </w:rPr>
        <w:t xml:space="preserve"> directors</w:t>
      </w:r>
      <w:r w:rsidR="008B54D4">
        <w:rPr>
          <w:color w:val="000000"/>
        </w:rPr>
        <w:t>,</w:t>
      </w:r>
      <w:r w:rsidR="00A77BBD">
        <w:rPr>
          <w:color w:val="000000"/>
        </w:rPr>
        <w:t xml:space="preserve"> employees</w:t>
      </w:r>
      <w:r w:rsidR="008B54D4">
        <w:rPr>
          <w:color w:val="000000"/>
        </w:rPr>
        <w:t>,</w:t>
      </w:r>
      <w:r w:rsidR="00A77BBD">
        <w:rPr>
          <w:color w:val="000000"/>
        </w:rPr>
        <w:t xml:space="preserve"> and associated entities</w:t>
      </w:r>
      <w:r w:rsidR="00FA79C1">
        <w:rPr>
          <w:color w:val="000000"/>
        </w:rPr>
        <w:t xml:space="preserve">.”  </w:t>
      </w:r>
      <w:r w:rsidR="00A77BBD">
        <w:rPr>
          <w:color w:val="000000"/>
        </w:rPr>
        <w:t>This meant enjoining over 2</w:t>
      </w:r>
      <w:r w:rsidR="008B54D4">
        <w:rPr>
          <w:color w:val="000000"/>
        </w:rPr>
        <w:t>,</w:t>
      </w:r>
      <w:r w:rsidR="00A77BBD">
        <w:rPr>
          <w:color w:val="000000"/>
        </w:rPr>
        <w:t xml:space="preserve">900 actions against </w:t>
      </w:r>
      <w:r>
        <w:rPr>
          <w:color w:val="000000"/>
        </w:rPr>
        <w:t>Oxy</w:t>
      </w:r>
      <w:r w:rsidR="00A77BBD">
        <w:rPr>
          <w:color w:val="000000"/>
        </w:rPr>
        <w:t xml:space="preserve"> and at least 400 civil suits against the </w:t>
      </w:r>
      <w:r w:rsidR="00E82FD6">
        <w:rPr>
          <w:color w:val="000000"/>
        </w:rPr>
        <w:t>Packler</w:t>
      </w:r>
      <w:r w:rsidR="00A77BBD">
        <w:rPr>
          <w:color w:val="000000"/>
        </w:rPr>
        <w:t>s</w:t>
      </w:r>
      <w:r w:rsidR="006A227C">
        <w:rPr>
          <w:color w:val="000000"/>
        </w:rPr>
        <w:t xml:space="preserve">.  </w:t>
      </w:r>
    </w:p>
    <w:p w14:paraId="0D0BB1C4" w14:textId="0B8828F6" w:rsidR="00A77BBD" w:rsidRDefault="006239B5" w:rsidP="00A77BBD">
      <w:pPr>
        <w:pStyle w:val="BodyTextFirstIndent"/>
      </w:pPr>
      <w:r>
        <w:rPr>
          <w:color w:val="000000"/>
        </w:rPr>
        <w:t>Oxy</w:t>
      </w:r>
      <w:r w:rsidR="00A77BBD">
        <w:rPr>
          <w:color w:val="000000"/>
        </w:rPr>
        <w:t xml:space="preserve"> argued that enjoining all litigation was necessary to facilitate the parties</w:t>
      </w:r>
      <w:r w:rsidR="008B54D4">
        <w:rPr>
          <w:color w:val="000000"/>
        </w:rPr>
        <w:t>’</w:t>
      </w:r>
      <w:r w:rsidR="00A77BBD">
        <w:rPr>
          <w:color w:val="000000"/>
        </w:rPr>
        <w:t xml:space="preserve"> work towards a global settlement in a single forum - the Bankruptcy Court</w:t>
      </w:r>
      <w:r w:rsidR="006A227C">
        <w:rPr>
          <w:color w:val="000000"/>
        </w:rPr>
        <w:t xml:space="preserve">.  </w:t>
      </w:r>
      <w:r w:rsidR="00A77BBD">
        <w:rPr>
          <w:color w:val="000000"/>
        </w:rPr>
        <w:t>After an evidentiary hearing</w:t>
      </w:r>
      <w:r w:rsidR="008B54D4">
        <w:rPr>
          <w:color w:val="000000"/>
        </w:rPr>
        <w:t>,</w:t>
      </w:r>
      <w:r w:rsidR="00A77BBD">
        <w:rPr>
          <w:color w:val="000000"/>
        </w:rPr>
        <w:t xml:space="preserve"> on October 11</w:t>
      </w:r>
      <w:r w:rsidR="008B54D4">
        <w:rPr>
          <w:color w:val="000000"/>
        </w:rPr>
        <w:t>,</w:t>
      </w:r>
      <w:r w:rsidR="00A77BBD">
        <w:rPr>
          <w:color w:val="000000"/>
        </w:rPr>
        <w:t xml:space="preserve"> 2019</w:t>
      </w:r>
      <w:r w:rsidR="008B54D4">
        <w:rPr>
          <w:color w:val="000000"/>
        </w:rPr>
        <w:t>,</w:t>
      </w:r>
      <w:r w:rsidR="00A77BBD">
        <w:rPr>
          <w:color w:val="000000"/>
        </w:rPr>
        <w:t xml:space="preserve"> the Bankruptcy Court temporarily halted all such litigation until November 6</w:t>
      </w:r>
      <w:r w:rsidR="008B54D4">
        <w:rPr>
          <w:color w:val="000000"/>
        </w:rPr>
        <w:t>,</w:t>
      </w:r>
      <w:r w:rsidR="00A77BBD">
        <w:rPr>
          <w:color w:val="000000"/>
        </w:rPr>
        <w:t xml:space="preserve"> 2019</w:t>
      </w:r>
      <w:r w:rsidR="00F9715F">
        <w:rPr>
          <w:color w:val="000000"/>
        </w:rPr>
        <w:t xml:space="preserve">, </w:t>
      </w:r>
      <w:r w:rsidR="00A77BBD">
        <w:rPr>
          <w:color w:val="000000"/>
        </w:rPr>
        <w:t xml:space="preserve">at which point it granted </w:t>
      </w:r>
      <w:r>
        <w:rPr>
          <w:color w:val="000000"/>
        </w:rPr>
        <w:t>Oxy</w:t>
      </w:r>
      <w:r w:rsidR="008B54D4">
        <w:rPr>
          <w:color w:val="000000"/>
        </w:rPr>
        <w:t>’</w:t>
      </w:r>
      <w:r w:rsidR="00A77BBD">
        <w:rPr>
          <w:color w:val="000000"/>
        </w:rPr>
        <w:t xml:space="preserve">s motion enjoining all plaintiffs from </w:t>
      </w:r>
      <w:r w:rsidR="003B7D4B">
        <w:rPr>
          <w:color w:val="000000"/>
        </w:rPr>
        <w:t>Cantin</w:t>
      </w:r>
      <w:r w:rsidR="00A77BBD">
        <w:rPr>
          <w:color w:val="000000"/>
        </w:rPr>
        <w:t>uing or commencing any judicial</w:t>
      </w:r>
      <w:r w:rsidR="008B54D4">
        <w:rPr>
          <w:color w:val="000000"/>
        </w:rPr>
        <w:t>,</w:t>
      </w:r>
      <w:r w:rsidR="00A77BBD">
        <w:rPr>
          <w:color w:val="000000"/>
        </w:rPr>
        <w:t xml:space="preserve"> administrative</w:t>
      </w:r>
      <w:r w:rsidR="008B54D4">
        <w:rPr>
          <w:color w:val="000000"/>
        </w:rPr>
        <w:t>,</w:t>
      </w:r>
      <w:r w:rsidR="00A77BBD">
        <w:rPr>
          <w:color w:val="000000"/>
        </w:rPr>
        <w:t xml:space="preserve"> or investigative actions</w:t>
      </w:r>
      <w:r w:rsidR="008B54D4">
        <w:rPr>
          <w:color w:val="000000"/>
        </w:rPr>
        <w:t>,</w:t>
      </w:r>
      <w:r w:rsidR="00A77BBD">
        <w:rPr>
          <w:color w:val="000000"/>
        </w:rPr>
        <w:t xml:space="preserve"> as well as any other enforcement proceeding</w:t>
      </w:r>
      <w:r w:rsidR="008B54D4">
        <w:rPr>
          <w:color w:val="000000"/>
        </w:rPr>
        <w:t>,</w:t>
      </w:r>
      <w:r w:rsidR="00A77BBD">
        <w:rPr>
          <w:color w:val="000000"/>
        </w:rPr>
        <w:t xml:space="preserve"> against </w:t>
      </w:r>
      <w:r>
        <w:rPr>
          <w:color w:val="000000"/>
        </w:rPr>
        <w:t>Oxy</w:t>
      </w:r>
      <w:r w:rsidR="00A77BBD">
        <w:rPr>
          <w:color w:val="000000"/>
        </w:rPr>
        <w:t xml:space="preserve"> or the non-debtor related parties</w:t>
      </w:r>
      <w:r w:rsidR="008B54D4">
        <w:rPr>
          <w:color w:val="000000"/>
        </w:rPr>
        <w:t>,</w:t>
      </w:r>
      <w:r w:rsidR="00A77BBD">
        <w:rPr>
          <w:color w:val="000000"/>
        </w:rPr>
        <w:t xml:space="preserve"> including against members of the </w:t>
      </w:r>
      <w:r w:rsidR="00E82FD6">
        <w:rPr>
          <w:color w:val="000000"/>
        </w:rPr>
        <w:t>Packler</w:t>
      </w:r>
      <w:r w:rsidR="00A77BBD">
        <w:rPr>
          <w:color w:val="000000"/>
        </w:rPr>
        <w:t xml:space="preserve"> family</w:t>
      </w:r>
      <w:r w:rsidR="006A227C">
        <w:rPr>
          <w:color w:val="000000"/>
        </w:rPr>
        <w:t xml:space="preserve">.  </w:t>
      </w:r>
      <w:r w:rsidR="00A77BBD">
        <w:rPr>
          <w:color w:val="000000"/>
        </w:rPr>
        <w:t>Th</w:t>
      </w:r>
      <w:r w:rsidR="00561CFB">
        <w:rPr>
          <w:color w:val="000000"/>
        </w:rPr>
        <w:t>e District</w:t>
      </w:r>
      <w:r w:rsidR="00A77BBD">
        <w:rPr>
          <w:color w:val="000000"/>
        </w:rPr>
        <w:t xml:space="preserve"> Court affirmed the Bankruptcy Court</w:t>
      </w:r>
      <w:r w:rsidR="008B54D4">
        <w:rPr>
          <w:color w:val="000000"/>
        </w:rPr>
        <w:t>’</w:t>
      </w:r>
      <w:r w:rsidR="00A77BBD">
        <w:rPr>
          <w:color w:val="000000"/>
        </w:rPr>
        <w:t>s grant of the preliminary injunction</w:t>
      </w:r>
      <w:r w:rsidR="006A227C">
        <w:rPr>
          <w:color w:val="000000"/>
        </w:rPr>
        <w:t xml:space="preserve">.  </w:t>
      </w:r>
      <w:r w:rsidR="00A77BBD">
        <w:rPr>
          <w:color w:val="000000"/>
        </w:rPr>
        <w:t xml:space="preserve">The expiration date of the preliminary injunction </w:t>
      </w:r>
      <w:r w:rsidR="00561CFB">
        <w:rPr>
          <w:color w:val="000000"/>
        </w:rPr>
        <w:t>was</w:t>
      </w:r>
      <w:r w:rsidR="00A77BBD">
        <w:rPr>
          <w:color w:val="000000"/>
        </w:rPr>
        <w:t xml:space="preserve"> extended 18 times</w:t>
      </w:r>
      <w:r w:rsidR="00561CFB">
        <w:rPr>
          <w:color w:val="000000"/>
        </w:rPr>
        <w:t xml:space="preserve"> in the chapter 11 case</w:t>
      </w:r>
      <w:r w:rsidR="008B54D4">
        <w:rPr>
          <w:color w:val="000000"/>
        </w:rPr>
        <w:t>,</w:t>
      </w:r>
      <w:r w:rsidR="00A77BBD">
        <w:rPr>
          <w:color w:val="000000"/>
        </w:rPr>
        <w:t xml:space="preserve"> during which period the parties negotiated to come up with the Plan</w:t>
      </w:r>
      <w:r w:rsidR="006A227C">
        <w:rPr>
          <w:color w:val="000000"/>
        </w:rPr>
        <w:t xml:space="preserve">.  </w:t>
      </w:r>
    </w:p>
    <w:p w14:paraId="14AF6826" w14:textId="0C1B4A3C" w:rsidR="00A77BBD" w:rsidRDefault="00A77BBD" w:rsidP="008E21E5">
      <w:pPr>
        <w:pStyle w:val="Heading3"/>
      </w:pPr>
      <w:r>
        <w:t>The Creditor Constituencies in the Bankruptcy</w:t>
      </w:r>
    </w:p>
    <w:p w14:paraId="283B3945" w14:textId="72C51C0D" w:rsidR="00A77BBD" w:rsidRDefault="00A77BBD" w:rsidP="00A77BBD">
      <w:pPr>
        <w:pStyle w:val="BodyTextFirstIndent"/>
      </w:pPr>
      <w:r>
        <w:rPr>
          <w:color w:val="000000"/>
        </w:rPr>
        <w:t>On September 27</w:t>
      </w:r>
      <w:r w:rsidR="008B54D4">
        <w:rPr>
          <w:color w:val="000000"/>
        </w:rPr>
        <w:t>,</w:t>
      </w:r>
      <w:r>
        <w:rPr>
          <w:color w:val="000000"/>
        </w:rPr>
        <w:t xml:space="preserve"> 2019</w:t>
      </w:r>
      <w:r w:rsidR="008B54D4">
        <w:rPr>
          <w:color w:val="000000"/>
        </w:rPr>
        <w:t>,</w:t>
      </w:r>
      <w:r>
        <w:rPr>
          <w:color w:val="000000"/>
        </w:rPr>
        <w:t xml:space="preserve"> the </w:t>
      </w:r>
      <w:r w:rsidR="002F10FB">
        <w:rPr>
          <w:color w:val="000000"/>
        </w:rPr>
        <w:t xml:space="preserve">U.S. </w:t>
      </w:r>
      <w:r>
        <w:rPr>
          <w:color w:val="000000"/>
        </w:rPr>
        <w:t>Trustee appointed nine creditors to the UCC</w:t>
      </w:r>
      <w:r w:rsidR="008B54D4">
        <w:rPr>
          <w:color w:val="000000"/>
        </w:rPr>
        <w:t>,</w:t>
      </w:r>
      <w:r>
        <w:rPr>
          <w:color w:val="000000"/>
        </w:rPr>
        <w:t xml:space="preserve"> an independent fiduciary to represent the interests of all unsecured creditors in the </w:t>
      </w:r>
      <w:r w:rsidR="006239B5">
        <w:rPr>
          <w:color w:val="000000"/>
        </w:rPr>
        <w:t>Oxy</w:t>
      </w:r>
      <w:r>
        <w:rPr>
          <w:color w:val="000000"/>
        </w:rPr>
        <w:t xml:space="preserve"> bankruptcy</w:t>
      </w:r>
      <w:r w:rsidR="006A227C">
        <w:rPr>
          <w:color w:val="000000"/>
        </w:rPr>
        <w:t xml:space="preserve">.  </w:t>
      </w:r>
      <w:r>
        <w:rPr>
          <w:color w:val="000000"/>
        </w:rPr>
        <w:t xml:space="preserve">The UCC also has several </w:t>
      </w:r>
      <w:r w:rsidRPr="00561CFB">
        <w:rPr>
          <w:i/>
          <w:iCs/>
          <w:color w:val="000000"/>
        </w:rPr>
        <w:t>ex-officio</w:t>
      </w:r>
      <w:r w:rsidR="008B54D4">
        <w:rPr>
          <w:color w:val="000000"/>
        </w:rPr>
        <w:t>,</w:t>
      </w:r>
      <w:r>
        <w:rPr>
          <w:color w:val="000000"/>
        </w:rPr>
        <w:t xml:space="preserve"> non-voting representatives</w:t>
      </w:r>
      <w:r w:rsidR="00F9715F">
        <w:rPr>
          <w:color w:val="000000"/>
        </w:rPr>
        <w:t>, mostly governmental units.</w:t>
      </w:r>
    </w:p>
    <w:p w14:paraId="0310E024" w14:textId="1CA65783" w:rsidR="00A77BBD" w:rsidRDefault="00A77BBD" w:rsidP="00A77BBD">
      <w:pPr>
        <w:pStyle w:val="BodyTextFirstIndent"/>
      </w:pPr>
      <w:r>
        <w:rPr>
          <w:color w:val="000000"/>
        </w:rPr>
        <w:t>Between September and November 2019</w:t>
      </w:r>
      <w:r w:rsidR="008B54D4">
        <w:rPr>
          <w:color w:val="000000"/>
        </w:rPr>
        <w:t>,</w:t>
      </w:r>
      <w:r>
        <w:rPr>
          <w:color w:val="000000"/>
        </w:rPr>
        <w:t xml:space="preserve"> various other creditor groups were formed to represent creditor constituencies in the bankruptcy</w:t>
      </w:r>
      <w:r w:rsidR="008B54D4">
        <w:rPr>
          <w:color w:val="000000"/>
        </w:rPr>
        <w:t>,</w:t>
      </w:r>
      <w:r>
        <w:rPr>
          <w:color w:val="000000"/>
        </w:rPr>
        <w:t xml:space="preserve"> including as follows:</w:t>
      </w:r>
    </w:p>
    <w:p w14:paraId="71199505" w14:textId="01982F2D" w:rsidR="008E21E5" w:rsidRDefault="008E21E5" w:rsidP="008E21E5">
      <w:pPr>
        <w:pStyle w:val="BodyTextFirstIndent"/>
        <w:spacing w:after="240" w:line="240" w:lineRule="auto"/>
        <w:ind w:left="1440" w:hanging="720"/>
        <w:rPr>
          <w:color w:val="000000"/>
        </w:rPr>
      </w:pPr>
      <w:r>
        <w:rPr>
          <w:color w:val="000000"/>
        </w:rPr>
        <w:t>•</w:t>
      </w:r>
      <w:r>
        <w:rPr>
          <w:rFonts w:eastAsia="Times New Roman" w:cs="Times New Roman"/>
          <w:color w:val="000000"/>
          <w:sz w:val="22"/>
        </w:rPr>
        <w:tab/>
      </w:r>
      <w:r w:rsidR="00A77BBD">
        <w:rPr>
          <w:color w:val="000000"/>
        </w:rPr>
        <w:t>The AHC was formed in September 2019 and is comprised of ten States</w:t>
      </w:r>
      <w:r w:rsidR="008B54D4">
        <w:rPr>
          <w:color w:val="000000"/>
        </w:rPr>
        <w:t>,</w:t>
      </w:r>
      <w:r w:rsidR="00A77BBD">
        <w:rPr>
          <w:color w:val="000000"/>
        </w:rPr>
        <w:t xml:space="preserve"> six counties</w:t>
      </w:r>
      <w:r w:rsidR="008B54D4">
        <w:rPr>
          <w:color w:val="000000"/>
        </w:rPr>
        <w:t>,</w:t>
      </w:r>
      <w:r w:rsidR="00A77BBD">
        <w:rPr>
          <w:color w:val="000000"/>
        </w:rPr>
        <w:t xml:space="preserve"> cites</w:t>
      </w:r>
      <w:r w:rsidR="008B54D4">
        <w:rPr>
          <w:color w:val="000000"/>
        </w:rPr>
        <w:t>,</w:t>
      </w:r>
      <w:r w:rsidR="00A77BBD">
        <w:rPr>
          <w:color w:val="000000"/>
        </w:rPr>
        <w:t xml:space="preserve"> parishes</w:t>
      </w:r>
      <w:r w:rsidR="008B54D4">
        <w:rPr>
          <w:color w:val="000000"/>
        </w:rPr>
        <w:t>,</w:t>
      </w:r>
      <w:r w:rsidR="00A77BBD">
        <w:rPr>
          <w:color w:val="000000"/>
        </w:rPr>
        <w:t xml:space="preserve"> or municipalities</w:t>
      </w:r>
      <w:r w:rsidR="008B54D4">
        <w:rPr>
          <w:color w:val="000000"/>
        </w:rPr>
        <w:t>,</w:t>
      </w:r>
      <w:r w:rsidR="00A77BBD">
        <w:rPr>
          <w:color w:val="000000"/>
        </w:rPr>
        <w:t xml:space="preserve"> one federally recognized American Indian Tribe (the Muscogee (Creek) Nation</w:t>
      </w:r>
      <w:r w:rsidR="00561CFB">
        <w:rPr>
          <w:color w:val="000000"/>
        </w:rPr>
        <w:t>)</w:t>
      </w:r>
      <w:r w:rsidR="008B54D4">
        <w:rPr>
          <w:color w:val="000000"/>
        </w:rPr>
        <w:t>,</w:t>
      </w:r>
      <w:r w:rsidR="00A77BBD">
        <w:rPr>
          <w:color w:val="000000"/>
        </w:rPr>
        <w:t xml:space="preserve"> as well as the court-appointed Co-Lead Counsel on behalf of the Plaintiffs</w:t>
      </w:r>
      <w:r w:rsidR="008B54D4">
        <w:rPr>
          <w:color w:val="000000"/>
        </w:rPr>
        <w:t>’</w:t>
      </w:r>
      <w:r w:rsidR="00A77BBD">
        <w:rPr>
          <w:color w:val="000000"/>
        </w:rPr>
        <w:t xml:space="preserve"> Executive Committee in the Opioid MDL</w:t>
      </w:r>
      <w:r w:rsidR="00F9715F">
        <w:rPr>
          <w:color w:val="000000"/>
        </w:rPr>
        <w:t xml:space="preserve">; </w:t>
      </w:r>
    </w:p>
    <w:p w14:paraId="78FD1851" w14:textId="7C719E99" w:rsidR="008E21E5" w:rsidRDefault="00A77BBD" w:rsidP="008E21E5">
      <w:pPr>
        <w:pStyle w:val="BodyTextFirstIndent"/>
        <w:spacing w:after="240" w:line="240" w:lineRule="auto"/>
        <w:ind w:left="1440" w:hanging="720"/>
        <w:rPr>
          <w:color w:val="000000"/>
        </w:rPr>
      </w:pPr>
      <w:r>
        <w:rPr>
          <w:color w:val="000000"/>
        </w:rPr>
        <w:t>•</w:t>
      </w:r>
      <w:r>
        <w:rPr>
          <w:rFonts w:eastAsia="Times New Roman" w:cs="Times New Roman"/>
          <w:color w:val="000000"/>
          <w:sz w:val="22"/>
        </w:rPr>
        <w:tab/>
      </w:r>
      <w:r>
        <w:rPr>
          <w:color w:val="000000"/>
        </w:rPr>
        <w:t>NAS Children was formed in September 2019 and is comprised of around 3</w:t>
      </w:r>
      <w:r w:rsidR="008B54D4">
        <w:rPr>
          <w:color w:val="000000"/>
        </w:rPr>
        <w:t>,</w:t>
      </w:r>
      <w:r>
        <w:rPr>
          <w:color w:val="000000"/>
        </w:rPr>
        <w:t>500 children</w:t>
      </w:r>
      <w:r w:rsidR="008B54D4">
        <w:rPr>
          <w:color w:val="000000"/>
        </w:rPr>
        <w:t>,</w:t>
      </w:r>
      <w:r>
        <w:rPr>
          <w:color w:val="000000"/>
        </w:rPr>
        <w:t xml:space="preserve"> who born with “neonatal abstinence syndrome” due to exposure to opioids in utero</w:t>
      </w:r>
      <w:r w:rsidR="008B54D4">
        <w:rPr>
          <w:color w:val="000000"/>
        </w:rPr>
        <w:t>,</w:t>
      </w:r>
      <w:r>
        <w:rPr>
          <w:color w:val="000000"/>
        </w:rPr>
        <w:t xml:space="preserve"> and/or their guardians</w:t>
      </w:r>
      <w:r w:rsidR="00F9715F">
        <w:rPr>
          <w:color w:val="000000"/>
        </w:rPr>
        <w:t xml:space="preserve">; </w:t>
      </w:r>
    </w:p>
    <w:p w14:paraId="0F1E6910" w14:textId="16617695" w:rsidR="008E21E5" w:rsidRDefault="00A77BBD" w:rsidP="008E21E5">
      <w:pPr>
        <w:pStyle w:val="BodyTextFirstIndent"/>
        <w:spacing w:after="240" w:line="240" w:lineRule="auto"/>
        <w:ind w:left="1440" w:hanging="720"/>
        <w:rPr>
          <w:color w:val="000000"/>
        </w:rPr>
      </w:pPr>
      <w:r>
        <w:rPr>
          <w:color w:val="000000"/>
        </w:rPr>
        <w:t>•</w:t>
      </w:r>
      <w:r>
        <w:rPr>
          <w:rFonts w:eastAsia="Times New Roman" w:cs="Times New Roman"/>
          <w:color w:val="000000"/>
          <w:sz w:val="22"/>
        </w:rPr>
        <w:tab/>
      </w:r>
      <w:r>
        <w:rPr>
          <w:color w:val="000000"/>
        </w:rPr>
        <w:t>The PI Ad Hoc Group was formed in October 2019 and is comprised of 60</w:t>
      </w:r>
      <w:r w:rsidR="008B54D4">
        <w:rPr>
          <w:color w:val="000000"/>
        </w:rPr>
        <w:t>,</w:t>
      </w:r>
      <w:r>
        <w:rPr>
          <w:color w:val="000000"/>
        </w:rPr>
        <w:t>761 personal injury claimants</w:t>
      </w:r>
      <w:r w:rsidR="008B54D4">
        <w:rPr>
          <w:color w:val="000000"/>
        </w:rPr>
        <w:t>,</w:t>
      </w:r>
      <w:r>
        <w:rPr>
          <w:color w:val="000000"/>
        </w:rPr>
        <w:t xml:space="preserve"> each holding “one or more unsecured</w:t>
      </w:r>
      <w:r w:rsidR="008B54D4">
        <w:rPr>
          <w:color w:val="000000"/>
        </w:rPr>
        <w:t>,</w:t>
      </w:r>
      <w:r>
        <w:rPr>
          <w:color w:val="000000"/>
        </w:rPr>
        <w:t xml:space="preserve"> unliquidated</w:t>
      </w:r>
      <w:r w:rsidR="008B54D4">
        <w:rPr>
          <w:color w:val="000000"/>
        </w:rPr>
        <w:t>,</w:t>
      </w:r>
      <w:r>
        <w:rPr>
          <w:color w:val="000000"/>
        </w:rPr>
        <w:t xml:space="preserve"> opioid-related personal injury claims against one or more of the Debtors</w:t>
      </w:r>
      <w:r w:rsidR="00F9715F">
        <w:rPr>
          <w:color w:val="000000"/>
        </w:rPr>
        <w:t>”;</w:t>
      </w:r>
    </w:p>
    <w:p w14:paraId="7B3573FC" w14:textId="3874C1A7" w:rsidR="008E21E5" w:rsidRDefault="00A77BBD" w:rsidP="008E21E5">
      <w:pPr>
        <w:pStyle w:val="BodyTextFirstIndent"/>
        <w:spacing w:after="240" w:line="240" w:lineRule="auto"/>
        <w:ind w:left="1440" w:hanging="720"/>
        <w:rPr>
          <w:color w:val="000000"/>
        </w:rPr>
      </w:pPr>
      <w:r>
        <w:rPr>
          <w:color w:val="000000"/>
        </w:rPr>
        <w:t>•</w:t>
      </w:r>
      <w:r>
        <w:rPr>
          <w:rFonts w:eastAsia="Times New Roman" w:cs="Times New Roman"/>
          <w:color w:val="000000"/>
          <w:sz w:val="22"/>
        </w:rPr>
        <w:tab/>
      </w:r>
      <w:r>
        <w:rPr>
          <w:color w:val="000000"/>
        </w:rPr>
        <w:t>MSGE was formed in October 2019 and is comprised of 1</w:t>
      </w:r>
      <w:r w:rsidR="008B54D4">
        <w:rPr>
          <w:color w:val="000000"/>
        </w:rPr>
        <w:t>,</w:t>
      </w:r>
      <w:r>
        <w:rPr>
          <w:color w:val="000000"/>
        </w:rPr>
        <w:t>317 entities:  1</w:t>
      </w:r>
      <w:r w:rsidR="008B54D4">
        <w:rPr>
          <w:color w:val="000000"/>
        </w:rPr>
        <w:t>,</w:t>
      </w:r>
      <w:r>
        <w:rPr>
          <w:color w:val="000000"/>
        </w:rPr>
        <w:t>245 cities</w:t>
      </w:r>
      <w:r w:rsidR="008B54D4">
        <w:rPr>
          <w:color w:val="000000"/>
        </w:rPr>
        <w:t>,</w:t>
      </w:r>
      <w:r>
        <w:rPr>
          <w:color w:val="000000"/>
        </w:rPr>
        <w:t xml:space="preserve"> counties and other governmental entities</w:t>
      </w:r>
      <w:r w:rsidR="008B54D4">
        <w:rPr>
          <w:color w:val="000000"/>
        </w:rPr>
        <w:t>,</w:t>
      </w:r>
      <w:r>
        <w:rPr>
          <w:color w:val="000000"/>
        </w:rPr>
        <w:t xml:space="preserve"> 9 tribal nations</w:t>
      </w:r>
      <w:r w:rsidR="008B54D4">
        <w:rPr>
          <w:color w:val="000000"/>
        </w:rPr>
        <w:t>,</w:t>
      </w:r>
      <w:r>
        <w:rPr>
          <w:color w:val="000000"/>
        </w:rPr>
        <w:t xml:space="preserve"> 13 hospital districts</w:t>
      </w:r>
      <w:r w:rsidR="008B54D4">
        <w:rPr>
          <w:color w:val="000000"/>
        </w:rPr>
        <w:t>,</w:t>
      </w:r>
      <w:r>
        <w:rPr>
          <w:color w:val="000000"/>
        </w:rPr>
        <w:t xml:space="preserve"> 16 independent public school districts</w:t>
      </w:r>
      <w:r w:rsidR="008B54D4">
        <w:rPr>
          <w:color w:val="000000"/>
        </w:rPr>
        <w:t>,</w:t>
      </w:r>
      <w:r>
        <w:rPr>
          <w:color w:val="000000"/>
        </w:rPr>
        <w:t xml:space="preserve"> 32 medical groups</w:t>
      </w:r>
      <w:r w:rsidR="008B54D4">
        <w:rPr>
          <w:color w:val="000000"/>
        </w:rPr>
        <w:t>,</w:t>
      </w:r>
      <w:r>
        <w:rPr>
          <w:color w:val="000000"/>
        </w:rPr>
        <w:t xml:space="preserve"> and 2 funds across 38 states and territories;</w:t>
      </w:r>
    </w:p>
    <w:p w14:paraId="193D5793" w14:textId="1A0F2FA3" w:rsidR="004A17EA" w:rsidRDefault="00A77BBD" w:rsidP="004A17EA">
      <w:pPr>
        <w:pStyle w:val="BodyTextFirstIndent"/>
        <w:spacing w:after="240" w:line="240" w:lineRule="auto"/>
        <w:ind w:left="1440" w:hanging="720"/>
        <w:rPr>
          <w:color w:val="000000"/>
        </w:rPr>
      </w:pPr>
      <w:r>
        <w:rPr>
          <w:color w:val="000000"/>
        </w:rPr>
        <w:t>•</w:t>
      </w:r>
      <w:r>
        <w:rPr>
          <w:rFonts w:eastAsia="Times New Roman" w:cs="Times New Roman"/>
          <w:color w:val="000000"/>
          <w:sz w:val="22"/>
        </w:rPr>
        <w:tab/>
      </w:r>
      <w:r>
        <w:rPr>
          <w:color w:val="000000"/>
        </w:rPr>
        <w:t xml:space="preserve">The Ad Hoc Group of Non-Consenting States (“NCSG”) was formed in October 2019 and is comprised of 25 states that did not reach a pre-petition agreement with </w:t>
      </w:r>
      <w:r w:rsidR="006239B5">
        <w:rPr>
          <w:color w:val="000000"/>
        </w:rPr>
        <w:t>Oxy</w:t>
      </w:r>
      <w:r>
        <w:rPr>
          <w:color w:val="000000"/>
        </w:rPr>
        <w:t xml:space="preserve"> or the </w:t>
      </w:r>
      <w:r w:rsidR="00E82FD6">
        <w:rPr>
          <w:color w:val="000000"/>
        </w:rPr>
        <w:t>Packler</w:t>
      </w:r>
      <w:r>
        <w:rPr>
          <w:color w:val="000000"/>
        </w:rPr>
        <w:t>s regarding “the general contours of a potential chapter 11 plan” to settle their claims</w:t>
      </w:r>
      <w:r w:rsidR="00F9715F">
        <w:rPr>
          <w:color w:val="000000"/>
        </w:rPr>
        <w:t>;</w:t>
      </w:r>
    </w:p>
    <w:p w14:paraId="1A37793B" w14:textId="391F46A9" w:rsidR="004A17EA" w:rsidRDefault="00A77BBD" w:rsidP="004A17EA">
      <w:pPr>
        <w:pStyle w:val="BodyTextFirstIndent"/>
        <w:spacing w:after="240" w:line="240" w:lineRule="auto"/>
        <w:ind w:left="1440" w:hanging="720"/>
        <w:rPr>
          <w:color w:val="000000"/>
        </w:rPr>
      </w:pPr>
      <w:r>
        <w:rPr>
          <w:color w:val="000000"/>
        </w:rPr>
        <w:t>•</w:t>
      </w:r>
      <w:r>
        <w:rPr>
          <w:rFonts w:eastAsia="Times New Roman" w:cs="Times New Roman"/>
          <w:color w:val="000000"/>
          <w:sz w:val="22"/>
        </w:rPr>
        <w:tab/>
      </w:r>
      <w:r>
        <w:rPr>
          <w:color w:val="000000"/>
        </w:rPr>
        <w:t>The Ratepayer Mediation Participants (“Ratepayers”) was formed in October 2019 and is comprised of “proposed representatives of classes of privately insured parties who are plaintiffs and proposed class representatives in their individual and representative capacities in suits brought against [</w:t>
      </w:r>
      <w:r w:rsidR="006239B5">
        <w:rPr>
          <w:color w:val="000000"/>
        </w:rPr>
        <w:t>Oxy</w:t>
      </w:r>
      <w:r>
        <w:rPr>
          <w:color w:val="000000"/>
        </w:rPr>
        <w:t>]” in 25 actions in 25 states; and</w:t>
      </w:r>
    </w:p>
    <w:p w14:paraId="55D90338" w14:textId="7FE6934A" w:rsidR="004A17EA" w:rsidRDefault="00A77BBD" w:rsidP="004A17EA">
      <w:pPr>
        <w:pStyle w:val="BodyTextFirstIndent"/>
        <w:spacing w:after="240" w:line="240" w:lineRule="auto"/>
        <w:ind w:left="1440" w:hanging="720"/>
        <w:rPr>
          <w:color w:val="000000"/>
        </w:rPr>
      </w:pPr>
      <w:r>
        <w:rPr>
          <w:color w:val="000000"/>
        </w:rPr>
        <w:t>•</w:t>
      </w:r>
      <w:r>
        <w:rPr>
          <w:rFonts w:eastAsia="Times New Roman" w:cs="Times New Roman"/>
          <w:color w:val="000000"/>
          <w:sz w:val="22"/>
        </w:rPr>
        <w:tab/>
      </w:r>
      <w:r>
        <w:rPr>
          <w:color w:val="000000"/>
        </w:rPr>
        <w:t xml:space="preserve">The Ad Hoc Group of Hospitals (“Hospitals”) was formed in November 2019 and is comprised of hundreds of hospitals that have treated and treat patients for conditions related to the use of opiates manufactured by </w:t>
      </w:r>
      <w:r w:rsidR="006239B5">
        <w:rPr>
          <w:color w:val="000000"/>
        </w:rPr>
        <w:t>Oxy</w:t>
      </w:r>
      <w:r>
        <w:rPr>
          <w:color w:val="000000"/>
        </w:rPr>
        <w:t>.</w:t>
      </w:r>
    </w:p>
    <w:p w14:paraId="05F89179" w14:textId="77777777" w:rsidR="004A17EA" w:rsidRDefault="00A77BBD" w:rsidP="004A17EA">
      <w:pPr>
        <w:pStyle w:val="BodyTextFirstIndent"/>
        <w:spacing w:after="240" w:line="240" w:lineRule="auto"/>
        <w:ind w:left="1440" w:hanging="720"/>
        <w:rPr>
          <w:color w:val="000000"/>
        </w:rPr>
      </w:pPr>
      <w:r>
        <w:rPr>
          <w:color w:val="000000"/>
        </w:rPr>
        <w:t>Other groups that formed during the pendency of the bankruptcy proceedings include:</w:t>
      </w:r>
    </w:p>
    <w:p w14:paraId="43424F75" w14:textId="3AF50192" w:rsidR="004A17EA" w:rsidRDefault="00A77BBD" w:rsidP="004A17EA">
      <w:pPr>
        <w:pStyle w:val="BodyTextFirstIndent"/>
        <w:spacing w:after="240" w:line="240" w:lineRule="auto"/>
        <w:ind w:left="1440" w:hanging="720"/>
        <w:rPr>
          <w:color w:val="000000"/>
        </w:rPr>
      </w:pPr>
      <w:r>
        <w:rPr>
          <w:color w:val="000000"/>
        </w:rPr>
        <w:t>•</w:t>
      </w:r>
      <w:r>
        <w:rPr>
          <w:rFonts w:eastAsia="Times New Roman" w:cs="Times New Roman"/>
          <w:color w:val="000000"/>
          <w:sz w:val="22"/>
        </w:rPr>
        <w:tab/>
      </w:r>
      <w:r>
        <w:rPr>
          <w:color w:val="000000"/>
        </w:rPr>
        <w:t>The Third-Party Payor Group (“TPP Group”)</w:t>
      </w:r>
      <w:r w:rsidR="008B54D4">
        <w:rPr>
          <w:color w:val="000000"/>
        </w:rPr>
        <w:t>,</w:t>
      </w:r>
      <w:r>
        <w:rPr>
          <w:color w:val="000000"/>
        </w:rPr>
        <w:t xml:space="preserve"> comprised of certain holders of third- party payor claims;</w:t>
      </w:r>
    </w:p>
    <w:p w14:paraId="6972BA1D" w14:textId="30E71710" w:rsidR="004A17EA" w:rsidRDefault="00A77BBD" w:rsidP="004A17EA">
      <w:pPr>
        <w:pStyle w:val="BodyTextFirstIndent"/>
        <w:spacing w:after="240" w:line="240" w:lineRule="auto"/>
        <w:ind w:left="1440" w:hanging="720"/>
        <w:rPr>
          <w:color w:val="000000"/>
        </w:rPr>
      </w:pPr>
      <w:r>
        <w:rPr>
          <w:color w:val="000000"/>
        </w:rPr>
        <w:t>•</w:t>
      </w:r>
      <w:r>
        <w:rPr>
          <w:rFonts w:eastAsia="Times New Roman" w:cs="Times New Roman"/>
          <w:color w:val="000000"/>
          <w:sz w:val="22"/>
        </w:rPr>
        <w:tab/>
      </w:r>
      <w:r>
        <w:rPr>
          <w:color w:val="000000"/>
        </w:rPr>
        <w:t>The Native American Tribes Group (“Tribes Group”)</w:t>
      </w:r>
      <w:r w:rsidR="008B54D4">
        <w:rPr>
          <w:color w:val="000000"/>
        </w:rPr>
        <w:t>,</w:t>
      </w:r>
      <w:r>
        <w:rPr>
          <w:color w:val="000000"/>
        </w:rPr>
        <w:t xml:space="preserve"> comprised of </w:t>
      </w:r>
      <w:r w:rsidR="008344B3">
        <w:rPr>
          <w:color w:val="000000"/>
        </w:rPr>
        <w:t xml:space="preserve">certain </w:t>
      </w:r>
      <w:r>
        <w:rPr>
          <w:color w:val="000000"/>
        </w:rPr>
        <w:t>Tribes</w:t>
      </w:r>
      <w:r w:rsidR="008B54D4">
        <w:rPr>
          <w:color w:val="000000"/>
        </w:rPr>
        <w:t>,</w:t>
      </w:r>
      <w:r>
        <w:rPr>
          <w:color w:val="000000"/>
        </w:rPr>
        <w:t xml:space="preserve"> an ex officio member of the Creditors</w:t>
      </w:r>
      <w:r w:rsidR="008B54D4">
        <w:rPr>
          <w:color w:val="000000"/>
        </w:rPr>
        <w:t>’</w:t>
      </w:r>
      <w:r>
        <w:rPr>
          <w:color w:val="000000"/>
        </w:rPr>
        <w:t xml:space="preserve"> Committee</w:t>
      </w:r>
      <w:r w:rsidR="008B54D4">
        <w:rPr>
          <w:color w:val="000000"/>
        </w:rPr>
        <w:t>,</w:t>
      </w:r>
      <w:r>
        <w:rPr>
          <w:color w:val="000000"/>
        </w:rPr>
        <w:t xml:space="preserve"> and other Tribes represented by various counsel from the Tribal Leadership Committee and the Opioid MDL Plaintiffs</w:t>
      </w:r>
      <w:r w:rsidR="008B54D4">
        <w:rPr>
          <w:color w:val="000000"/>
        </w:rPr>
        <w:t>’</w:t>
      </w:r>
      <w:r>
        <w:rPr>
          <w:color w:val="000000"/>
        </w:rPr>
        <w:t xml:space="preserve"> Executive Committee; and</w:t>
      </w:r>
    </w:p>
    <w:p w14:paraId="3611B4BE" w14:textId="2C6C8CDE" w:rsidR="00A77BBD" w:rsidRDefault="00A77BBD" w:rsidP="004A17EA">
      <w:pPr>
        <w:pStyle w:val="BodyTextFirstIndent"/>
        <w:spacing w:after="240" w:line="240" w:lineRule="auto"/>
        <w:ind w:left="1440" w:hanging="720"/>
      </w:pPr>
      <w:r>
        <w:rPr>
          <w:color w:val="000000"/>
        </w:rPr>
        <w:t>•</w:t>
      </w:r>
      <w:r>
        <w:rPr>
          <w:rFonts w:eastAsia="Times New Roman" w:cs="Times New Roman"/>
          <w:color w:val="000000"/>
          <w:sz w:val="22"/>
        </w:rPr>
        <w:tab/>
      </w:r>
      <w:r>
        <w:rPr>
          <w:color w:val="000000"/>
        </w:rPr>
        <w:t>The Public School District Claimants (“Public Schools”)</w:t>
      </w:r>
      <w:r w:rsidR="008B54D4">
        <w:rPr>
          <w:color w:val="000000"/>
        </w:rPr>
        <w:t>,</w:t>
      </w:r>
      <w:r>
        <w:rPr>
          <w:color w:val="000000"/>
        </w:rPr>
        <w:t xml:space="preserve"> comprised of over 60 public school districts in the United States.</w:t>
      </w:r>
    </w:p>
    <w:p w14:paraId="604FBDC1" w14:textId="3ABB01A3" w:rsidR="00A77BBD" w:rsidRDefault="00A77BBD" w:rsidP="00A77BBD">
      <w:pPr>
        <w:pStyle w:val="BodyTextFirstIndent"/>
      </w:pPr>
      <w:r>
        <w:rPr>
          <w:color w:val="000000"/>
        </w:rPr>
        <w:t>Each of these groups was representative of certain creditor constituencies</w:t>
      </w:r>
      <w:r w:rsidR="008B54D4">
        <w:rPr>
          <w:color w:val="000000"/>
        </w:rPr>
        <w:t>,</w:t>
      </w:r>
      <w:r>
        <w:rPr>
          <w:color w:val="000000"/>
        </w:rPr>
        <w:t xml:space="preserve"> whose “members” (there was no certified class) held similar types of claims against </w:t>
      </w:r>
      <w:r w:rsidR="006239B5">
        <w:rPr>
          <w:color w:val="000000"/>
        </w:rPr>
        <w:t>Oxy</w:t>
      </w:r>
      <w:r>
        <w:rPr>
          <w:color w:val="000000"/>
        </w:rPr>
        <w:t>.</w:t>
      </w:r>
    </w:p>
    <w:p w14:paraId="6E2F820E" w14:textId="1A798F52" w:rsidR="00A77BBD" w:rsidRDefault="00A77BBD" w:rsidP="004A17EA">
      <w:pPr>
        <w:pStyle w:val="Heading3"/>
      </w:pPr>
      <w:r>
        <w:t>The Court Sets A Bar Date for Filing of Proof of Claims</w:t>
      </w:r>
    </w:p>
    <w:p w14:paraId="422C48A5" w14:textId="23FCF625" w:rsidR="00A77BBD" w:rsidRDefault="00A77BBD" w:rsidP="00A77BBD">
      <w:pPr>
        <w:pStyle w:val="BodyTextFirstIndent"/>
      </w:pPr>
      <w:r>
        <w:rPr>
          <w:color w:val="000000"/>
        </w:rPr>
        <w:t>On January 3</w:t>
      </w:r>
      <w:r w:rsidR="008B54D4">
        <w:rPr>
          <w:color w:val="000000"/>
        </w:rPr>
        <w:t>,</w:t>
      </w:r>
      <w:r>
        <w:rPr>
          <w:color w:val="000000"/>
        </w:rPr>
        <w:t xml:space="preserve"> 2020</w:t>
      </w:r>
      <w:r w:rsidR="008B54D4">
        <w:rPr>
          <w:color w:val="000000"/>
        </w:rPr>
        <w:t>,</w:t>
      </w:r>
      <w:r>
        <w:rPr>
          <w:color w:val="000000"/>
        </w:rPr>
        <w:t xml:space="preserve"> </w:t>
      </w:r>
      <w:r w:rsidR="006239B5">
        <w:rPr>
          <w:color w:val="000000"/>
        </w:rPr>
        <w:t>Oxy</w:t>
      </w:r>
      <w:r>
        <w:rPr>
          <w:color w:val="000000"/>
        </w:rPr>
        <w:t xml:space="preserve"> filed a “Motion for Entry of an Order (I) Establishing Deadlines for Filing Proofs of Claim and Procedures Relating Thereto</w:t>
      </w:r>
      <w:r w:rsidR="008B54D4">
        <w:rPr>
          <w:color w:val="000000"/>
        </w:rPr>
        <w:t>,</w:t>
      </w:r>
      <w:r>
        <w:rPr>
          <w:color w:val="000000"/>
        </w:rPr>
        <w:t xml:space="preserve"> (II) Approving the Proof</w:t>
      </w:r>
      <w:r w:rsidR="004A17EA">
        <w:rPr>
          <w:color w:val="000000"/>
        </w:rPr>
        <w:t xml:space="preserve"> </w:t>
      </w:r>
      <w:r>
        <w:rPr>
          <w:color w:val="000000"/>
        </w:rPr>
        <w:t>of Claim Forms</w:t>
      </w:r>
      <w:r w:rsidR="008B54D4">
        <w:rPr>
          <w:color w:val="000000"/>
        </w:rPr>
        <w:t>,</w:t>
      </w:r>
      <w:r>
        <w:rPr>
          <w:color w:val="000000"/>
        </w:rPr>
        <w:t xml:space="preserve"> and (III) Approving the Form and Manner of Notice Thereof” (the “Bar Date Motion”)</w:t>
      </w:r>
      <w:r w:rsidR="00FA79C1">
        <w:rPr>
          <w:color w:val="000000"/>
        </w:rPr>
        <w:t xml:space="preserve">.”  </w:t>
      </w:r>
      <w:r>
        <w:rPr>
          <w:color w:val="000000"/>
        </w:rPr>
        <w:t>On February 3</w:t>
      </w:r>
      <w:r w:rsidR="008B54D4">
        <w:rPr>
          <w:color w:val="000000"/>
        </w:rPr>
        <w:t>,</w:t>
      </w:r>
      <w:r>
        <w:rPr>
          <w:color w:val="000000"/>
        </w:rPr>
        <w:t xml:space="preserve"> 2020</w:t>
      </w:r>
      <w:r w:rsidR="008B54D4">
        <w:rPr>
          <w:color w:val="000000"/>
        </w:rPr>
        <w:t>,</w:t>
      </w:r>
      <w:r>
        <w:rPr>
          <w:color w:val="000000"/>
        </w:rPr>
        <w:t xml:space="preserve"> the Bankruptcy Court approved the Bar Date Motion</w:t>
      </w:r>
      <w:r w:rsidR="008B54D4">
        <w:rPr>
          <w:color w:val="000000"/>
        </w:rPr>
        <w:t>,</w:t>
      </w:r>
      <w:r>
        <w:rPr>
          <w:color w:val="000000"/>
        </w:rPr>
        <w:t xml:space="preserve"> setting June 30</w:t>
      </w:r>
      <w:r w:rsidR="008B54D4">
        <w:rPr>
          <w:color w:val="000000"/>
        </w:rPr>
        <w:t>,</w:t>
      </w:r>
      <w:r>
        <w:rPr>
          <w:color w:val="000000"/>
        </w:rPr>
        <w:t xml:space="preserve"> 2020 as the deadline for all persons and entities holding a prepetition claim against </w:t>
      </w:r>
      <w:r w:rsidR="006239B5">
        <w:rPr>
          <w:color w:val="000000"/>
        </w:rPr>
        <w:t>Oxy</w:t>
      </w:r>
      <w:r w:rsidR="008B54D4">
        <w:rPr>
          <w:color w:val="000000"/>
        </w:rPr>
        <w:t>,</w:t>
      </w:r>
      <w:r>
        <w:rPr>
          <w:color w:val="000000"/>
        </w:rPr>
        <w:t xml:space="preserve"> as defined in section 101(5) of the Bankruptcy Code (a “Claim”)</w:t>
      </w:r>
      <w:r w:rsidR="008B54D4">
        <w:rPr>
          <w:color w:val="000000"/>
        </w:rPr>
        <w:t>,</w:t>
      </w:r>
      <w:r>
        <w:rPr>
          <w:color w:val="000000"/>
        </w:rPr>
        <w:t xml:space="preserve"> to file a proof of claim</w:t>
      </w:r>
      <w:r w:rsidR="006A227C">
        <w:rPr>
          <w:color w:val="000000"/>
        </w:rPr>
        <w:t xml:space="preserve">.  </w:t>
      </w:r>
      <w:r>
        <w:rPr>
          <w:color w:val="000000"/>
        </w:rPr>
        <w:t>On June 3</w:t>
      </w:r>
      <w:r w:rsidR="008B54D4">
        <w:rPr>
          <w:color w:val="000000"/>
        </w:rPr>
        <w:t>,</w:t>
      </w:r>
      <w:r>
        <w:rPr>
          <w:color w:val="000000"/>
        </w:rPr>
        <w:t xml:space="preserve"> 2020</w:t>
      </w:r>
      <w:r w:rsidR="008B54D4">
        <w:rPr>
          <w:color w:val="000000"/>
        </w:rPr>
        <w:t>,</w:t>
      </w:r>
      <w:r>
        <w:rPr>
          <w:color w:val="000000"/>
        </w:rPr>
        <w:t xml:space="preserve"> the Bankruptcy Court entered an order extending the Bar Date to July 30</w:t>
      </w:r>
      <w:r w:rsidR="008B54D4">
        <w:rPr>
          <w:color w:val="000000"/>
        </w:rPr>
        <w:t>,</w:t>
      </w:r>
      <w:r>
        <w:rPr>
          <w:color w:val="000000"/>
        </w:rPr>
        <w:t xml:space="preserve"> 2020</w:t>
      </w:r>
      <w:r w:rsidR="006A227C">
        <w:rPr>
          <w:color w:val="000000"/>
        </w:rPr>
        <w:t xml:space="preserve">.  </w:t>
      </w:r>
    </w:p>
    <w:p w14:paraId="37EBC9F1" w14:textId="1D1EFC49" w:rsidR="00A77BBD" w:rsidRDefault="00A77BBD" w:rsidP="00A77BBD">
      <w:pPr>
        <w:pStyle w:val="BodyTextFirstIndent"/>
      </w:pPr>
      <w:r>
        <w:rPr>
          <w:color w:val="000000"/>
        </w:rPr>
        <w:t>During the five months while the window for filing proofs of claims was open</w:t>
      </w:r>
      <w:r w:rsidR="008B54D4">
        <w:rPr>
          <w:color w:val="000000"/>
        </w:rPr>
        <w:t>,</w:t>
      </w:r>
      <w:r>
        <w:rPr>
          <w:color w:val="000000"/>
        </w:rPr>
        <w:t xml:space="preserve"> over 614</w:t>
      </w:r>
      <w:r w:rsidR="008B54D4">
        <w:rPr>
          <w:color w:val="000000"/>
        </w:rPr>
        <w:t>,</w:t>
      </w:r>
      <w:r>
        <w:rPr>
          <w:color w:val="000000"/>
        </w:rPr>
        <w:t>000 claimants did so</w:t>
      </w:r>
      <w:r w:rsidR="006A227C">
        <w:rPr>
          <w:color w:val="000000"/>
        </w:rPr>
        <w:t xml:space="preserve">.  </w:t>
      </w:r>
      <w:r>
        <w:rPr>
          <w:color w:val="000000"/>
        </w:rPr>
        <w:t>Just 10% of the claims so filed would give rise to over $140 trillion in aggregate liability - more than the whole world</w:t>
      </w:r>
      <w:r w:rsidR="008B54D4">
        <w:rPr>
          <w:color w:val="000000"/>
        </w:rPr>
        <w:t>’</w:t>
      </w:r>
      <w:r>
        <w:rPr>
          <w:color w:val="000000"/>
        </w:rPr>
        <w:t>s gross domestic produ</w:t>
      </w:r>
      <w:r w:rsidR="005B0788">
        <w:rPr>
          <w:color w:val="000000"/>
        </w:rPr>
        <w:t>c</w:t>
      </w:r>
      <w:r w:rsidR="004F2BA9">
        <w:rPr>
          <w:color w:val="000000"/>
        </w:rPr>
        <w:t>t.</w:t>
      </w:r>
      <w:r w:rsidR="005B0788">
        <w:rPr>
          <w:color w:val="000000"/>
        </w:rPr>
        <w:t xml:space="preserve"> </w:t>
      </w:r>
      <w:r w:rsidR="004F2BA9">
        <w:rPr>
          <w:color w:val="000000"/>
        </w:rPr>
        <w:t xml:space="preserve"> </w:t>
      </w:r>
      <w:r>
        <w:rPr>
          <w:color w:val="000000"/>
        </w:rPr>
        <w:t>The claimants included the federal government</w:t>
      </w:r>
      <w:r w:rsidR="008B54D4">
        <w:rPr>
          <w:color w:val="000000"/>
        </w:rPr>
        <w:t>,</w:t>
      </w:r>
      <w:r>
        <w:rPr>
          <w:color w:val="000000"/>
        </w:rPr>
        <w:t xml:space="preserve"> states and political subdivisions</w:t>
      </w:r>
      <w:r w:rsidR="008B54D4">
        <w:rPr>
          <w:color w:val="000000"/>
        </w:rPr>
        <w:t>,</w:t>
      </w:r>
      <w:r>
        <w:rPr>
          <w:color w:val="000000"/>
        </w:rPr>
        <w:t xml:space="preserve"> </w:t>
      </w:r>
      <w:r w:rsidR="00561CFB">
        <w:rPr>
          <w:color w:val="000000"/>
        </w:rPr>
        <w:t>n</w:t>
      </w:r>
      <w:r>
        <w:rPr>
          <w:color w:val="000000"/>
        </w:rPr>
        <w:t xml:space="preserve">ative </w:t>
      </w:r>
      <w:r w:rsidR="00561CFB">
        <w:rPr>
          <w:color w:val="000000"/>
        </w:rPr>
        <w:t>a</w:t>
      </w:r>
      <w:r>
        <w:rPr>
          <w:color w:val="000000"/>
        </w:rPr>
        <w:t xml:space="preserve">merican </w:t>
      </w:r>
      <w:r w:rsidR="00561CFB">
        <w:rPr>
          <w:color w:val="000000"/>
        </w:rPr>
        <w:t>t</w:t>
      </w:r>
      <w:r>
        <w:rPr>
          <w:color w:val="000000"/>
        </w:rPr>
        <w:t>ribes</w:t>
      </w:r>
      <w:r w:rsidR="008B54D4">
        <w:rPr>
          <w:color w:val="000000"/>
        </w:rPr>
        <w:t>,</w:t>
      </w:r>
      <w:r>
        <w:rPr>
          <w:color w:val="000000"/>
        </w:rPr>
        <w:t xml:space="preserve"> hospitals</w:t>
      </w:r>
      <w:r w:rsidR="008B54D4">
        <w:rPr>
          <w:color w:val="000000"/>
        </w:rPr>
        <w:t>,</w:t>
      </w:r>
      <w:r>
        <w:rPr>
          <w:color w:val="000000"/>
        </w:rPr>
        <w:t xml:space="preserve"> third-party payors</w:t>
      </w:r>
      <w:r w:rsidR="008B54D4">
        <w:rPr>
          <w:color w:val="000000"/>
        </w:rPr>
        <w:t>,</w:t>
      </w:r>
      <w:r>
        <w:rPr>
          <w:color w:val="000000"/>
        </w:rPr>
        <w:t xml:space="preserve"> ratepayers</w:t>
      </w:r>
      <w:r w:rsidR="008B54D4">
        <w:rPr>
          <w:color w:val="000000"/>
        </w:rPr>
        <w:t>,</w:t>
      </w:r>
      <w:r>
        <w:rPr>
          <w:color w:val="000000"/>
        </w:rPr>
        <w:t xml:space="preserve"> public schools</w:t>
      </w:r>
      <w:r w:rsidR="008B54D4">
        <w:rPr>
          <w:color w:val="000000"/>
        </w:rPr>
        <w:t>,</w:t>
      </w:r>
      <w:r>
        <w:rPr>
          <w:color w:val="000000"/>
        </w:rPr>
        <w:t xml:space="preserve"> NAS monitoring claims</w:t>
      </w:r>
      <w:r w:rsidR="008B54D4">
        <w:rPr>
          <w:color w:val="000000"/>
        </w:rPr>
        <w:t>,</w:t>
      </w:r>
      <w:r>
        <w:rPr>
          <w:rStyle w:val="FootnoteReference"/>
          <w:rFonts w:eastAsia="Times New Roman" w:cs="Times New Roman"/>
          <w:color w:val="000000"/>
          <w:vertAlign w:val="superscript"/>
        </w:rPr>
        <w:footnoteReference w:id="15"/>
      </w:r>
      <w:r>
        <w:rPr>
          <w:color w:val="000000"/>
        </w:rPr>
        <w:t xml:space="preserve"> more than 130</w:t>
      </w:r>
      <w:r w:rsidR="008B54D4">
        <w:rPr>
          <w:color w:val="000000"/>
        </w:rPr>
        <w:t>,</w:t>
      </w:r>
      <w:r>
        <w:rPr>
          <w:color w:val="000000"/>
        </w:rPr>
        <w:t>000 personal injury victims</w:t>
      </w:r>
      <w:r w:rsidR="008B54D4">
        <w:rPr>
          <w:color w:val="000000"/>
        </w:rPr>
        <w:t>,</w:t>
      </w:r>
      <w:r>
        <w:rPr>
          <w:color w:val="000000"/>
        </w:rPr>
        <w:t xml:space="preserve"> and others</w:t>
      </w:r>
      <w:r w:rsidR="006A227C">
        <w:rPr>
          <w:color w:val="000000"/>
        </w:rPr>
        <w:t xml:space="preserve">. </w:t>
      </w:r>
    </w:p>
    <w:p w14:paraId="6BAF00E2" w14:textId="3CCC0C48" w:rsidR="00A77BBD" w:rsidRDefault="00A77BBD" w:rsidP="004A17EA">
      <w:pPr>
        <w:pStyle w:val="Heading3"/>
      </w:pPr>
      <w:r>
        <w:t>The Court Approves Mediation and Appoints Mediators to Facilitate Resolution</w:t>
      </w:r>
    </w:p>
    <w:p w14:paraId="33C1D23E" w14:textId="7BB4A450" w:rsidR="00A77BBD" w:rsidRDefault="00A77BBD" w:rsidP="00A77BBD">
      <w:pPr>
        <w:pStyle w:val="BodyTextFirstIndent"/>
      </w:pPr>
      <w:r>
        <w:rPr>
          <w:color w:val="000000"/>
        </w:rPr>
        <w:t>On February 20</w:t>
      </w:r>
      <w:r w:rsidR="008B54D4">
        <w:rPr>
          <w:color w:val="000000"/>
        </w:rPr>
        <w:t>,</w:t>
      </w:r>
      <w:r>
        <w:rPr>
          <w:color w:val="000000"/>
        </w:rPr>
        <w:t xml:space="preserve"> 2020</w:t>
      </w:r>
      <w:r w:rsidR="008B54D4">
        <w:rPr>
          <w:color w:val="000000"/>
        </w:rPr>
        <w:t>,</w:t>
      </w:r>
      <w:r>
        <w:rPr>
          <w:color w:val="000000"/>
        </w:rPr>
        <w:t xml:space="preserve"> </w:t>
      </w:r>
      <w:r w:rsidR="006239B5">
        <w:rPr>
          <w:color w:val="000000"/>
        </w:rPr>
        <w:t>Oxy</w:t>
      </w:r>
      <w:r>
        <w:rPr>
          <w:color w:val="000000"/>
        </w:rPr>
        <w:t xml:space="preserve"> filed an unopposed “Motion for Entry of an Order Appointing Mediators</w:t>
      </w:r>
      <w:r w:rsidR="008B54D4">
        <w:rPr>
          <w:color w:val="000000"/>
        </w:rPr>
        <w:t>,</w:t>
      </w:r>
      <w:r>
        <w:rPr>
          <w:color w:val="000000"/>
        </w:rPr>
        <w:t>” seeking the appointment of mediators and mandating that the various creditor constituencies participate in mediation</w:t>
      </w:r>
      <w:r w:rsidR="006A227C">
        <w:rPr>
          <w:color w:val="000000"/>
        </w:rPr>
        <w:t xml:space="preserve">.  </w:t>
      </w:r>
      <w:r>
        <w:rPr>
          <w:color w:val="000000"/>
        </w:rPr>
        <w:t>On March 2</w:t>
      </w:r>
      <w:r w:rsidR="008B54D4">
        <w:rPr>
          <w:color w:val="000000"/>
        </w:rPr>
        <w:t>,</w:t>
      </w:r>
      <w:r>
        <w:rPr>
          <w:color w:val="000000"/>
        </w:rPr>
        <w:t xml:space="preserve"> 2020</w:t>
      </w:r>
      <w:r w:rsidR="008B54D4">
        <w:rPr>
          <w:color w:val="000000"/>
        </w:rPr>
        <w:t>,</w:t>
      </w:r>
      <w:r>
        <w:rPr>
          <w:color w:val="000000"/>
        </w:rPr>
        <w:t xml:space="preserve"> the Bankruptcy Court approved </w:t>
      </w:r>
      <w:r w:rsidR="006239B5">
        <w:rPr>
          <w:color w:val="000000"/>
        </w:rPr>
        <w:t>Oxy</w:t>
      </w:r>
      <w:r w:rsidR="008B54D4">
        <w:rPr>
          <w:color w:val="000000"/>
        </w:rPr>
        <w:t>’</w:t>
      </w:r>
      <w:r>
        <w:rPr>
          <w:color w:val="000000"/>
        </w:rPr>
        <w:t>s motion and appointed The Honorable Lan</w:t>
      </w:r>
      <w:r w:rsidR="00561CFB">
        <w:rPr>
          <w:color w:val="000000"/>
        </w:rPr>
        <w:t>e</w:t>
      </w:r>
      <w:r>
        <w:rPr>
          <w:color w:val="000000"/>
        </w:rPr>
        <w:t xml:space="preserve"> Pillips (ret.) and Mr</w:t>
      </w:r>
      <w:r w:rsidR="006A227C">
        <w:rPr>
          <w:color w:val="000000"/>
        </w:rPr>
        <w:t xml:space="preserve">. </w:t>
      </w:r>
      <w:r>
        <w:rPr>
          <w:color w:val="000000"/>
        </w:rPr>
        <w:t xml:space="preserve">Kenneth </w:t>
      </w:r>
      <w:r w:rsidR="00561CFB">
        <w:rPr>
          <w:color w:val="000000"/>
        </w:rPr>
        <w:t>Est</w:t>
      </w:r>
      <w:r>
        <w:rPr>
          <w:color w:val="000000"/>
        </w:rPr>
        <w:t>berg as co-mediators</w:t>
      </w:r>
      <w:r w:rsidR="008344B3">
        <w:rPr>
          <w:color w:val="000000"/>
        </w:rPr>
        <w:t xml:space="preserve">. </w:t>
      </w:r>
      <w:r>
        <w:rPr>
          <w:color w:val="000000"/>
        </w:rPr>
        <w:t>Both are among the most experienced and respected mediators in the country.</w:t>
      </w:r>
    </w:p>
    <w:p w14:paraId="2DAB5CFB" w14:textId="7E64A238" w:rsidR="00A77BBD" w:rsidRDefault="00A77BBD" w:rsidP="001D3B34">
      <w:pPr>
        <w:pStyle w:val="Heading2"/>
      </w:pPr>
      <w:r>
        <w:t>The Negotiation of the Bankruptcy Plan</w:t>
      </w:r>
    </w:p>
    <w:p w14:paraId="221AD576" w14:textId="7D55AA0A" w:rsidR="00A77BBD" w:rsidRDefault="00A77BBD" w:rsidP="00A77BBD">
      <w:pPr>
        <w:pStyle w:val="BodyTextFirstIndent"/>
      </w:pPr>
      <w:r>
        <w:rPr>
          <w:color w:val="000000"/>
        </w:rPr>
        <w:t>Through mediation</w:t>
      </w:r>
      <w:r w:rsidR="008B54D4">
        <w:rPr>
          <w:color w:val="000000"/>
        </w:rPr>
        <w:t>,</w:t>
      </w:r>
      <w:r>
        <w:rPr>
          <w:color w:val="000000"/>
        </w:rPr>
        <w:t xml:space="preserve"> </w:t>
      </w:r>
      <w:r w:rsidR="006239B5">
        <w:rPr>
          <w:color w:val="000000"/>
        </w:rPr>
        <w:t>Oxy</w:t>
      </w:r>
      <w:r>
        <w:rPr>
          <w:color w:val="000000"/>
        </w:rPr>
        <w:t xml:space="preserve"> and stakeholders worked to negotiate a complex settlement framework that would ultimately direct the Debtors</w:t>
      </w:r>
      <w:r w:rsidR="008B54D4">
        <w:rPr>
          <w:color w:val="000000"/>
        </w:rPr>
        <w:t>’</w:t>
      </w:r>
      <w:r>
        <w:rPr>
          <w:color w:val="000000"/>
        </w:rPr>
        <w:t xml:space="preserve"> assets and $4.275 billion from the </w:t>
      </w:r>
      <w:r w:rsidR="00E82FD6">
        <w:rPr>
          <w:color w:val="000000"/>
        </w:rPr>
        <w:t>Packler</w:t>
      </w:r>
      <w:r>
        <w:rPr>
          <w:color w:val="000000"/>
        </w:rPr>
        <w:t xml:space="preserve"> families toward</w:t>
      </w:r>
      <w:r w:rsidR="00561CFB">
        <w:rPr>
          <w:color w:val="000000"/>
        </w:rPr>
        <w:t>s</w:t>
      </w:r>
      <w:r>
        <w:rPr>
          <w:color w:val="000000"/>
        </w:rPr>
        <w:t xml:space="preserve"> abating the opioid crisis and restoring </w:t>
      </w:r>
      <w:r w:rsidR="00F547D7">
        <w:rPr>
          <w:color w:val="000000"/>
        </w:rPr>
        <w:t xml:space="preserve">value to </w:t>
      </w:r>
      <w:r>
        <w:rPr>
          <w:color w:val="000000"/>
        </w:rPr>
        <w:t>victims of the crisis</w:t>
      </w:r>
      <w:r w:rsidR="008344B3">
        <w:rPr>
          <w:color w:val="000000"/>
        </w:rPr>
        <w:t>.</w:t>
      </w:r>
    </w:p>
    <w:p w14:paraId="7A7BE642" w14:textId="10B754E0" w:rsidR="00A77BBD" w:rsidRDefault="00A77BBD" w:rsidP="00A77BBD">
      <w:pPr>
        <w:pStyle w:val="BodyTextFirstIndent"/>
      </w:pPr>
      <w:r>
        <w:rPr>
          <w:color w:val="000000"/>
        </w:rPr>
        <w:t>The parties involved in the negotiations included the Debtors and non-debtor related parties (</w:t>
      </w:r>
      <w:r>
        <w:rPr>
          <w:i/>
          <w:iCs/>
          <w:color w:val="000000"/>
        </w:rPr>
        <w:t>i.e.</w:t>
      </w:r>
      <w:r w:rsidR="008B54D4">
        <w:rPr>
          <w:color w:val="000000"/>
        </w:rPr>
        <w:t>,</w:t>
      </w:r>
      <w:r>
        <w:rPr>
          <w:color w:val="000000"/>
        </w:rPr>
        <w:t xml:space="preserve"> members of the </w:t>
      </w:r>
      <w:r w:rsidR="00E82FD6">
        <w:rPr>
          <w:color w:val="000000"/>
        </w:rPr>
        <w:t>Packler</w:t>
      </w:r>
      <w:r>
        <w:rPr>
          <w:color w:val="000000"/>
        </w:rPr>
        <w:t xml:space="preserve"> family) and the various creditor constituencies</w:t>
      </w:r>
      <w:r w:rsidR="006A227C">
        <w:rPr>
          <w:color w:val="000000"/>
        </w:rPr>
        <w:t xml:space="preserve">.  </w:t>
      </w:r>
      <w:r>
        <w:rPr>
          <w:color w:val="000000"/>
        </w:rPr>
        <w:t>Together</w:t>
      </w:r>
      <w:r w:rsidR="008B54D4">
        <w:rPr>
          <w:color w:val="000000"/>
        </w:rPr>
        <w:t>,</w:t>
      </w:r>
      <w:r>
        <w:rPr>
          <w:color w:val="000000"/>
        </w:rPr>
        <w:t xml:space="preserve"> as defined in the court</w:t>
      </w:r>
      <w:r w:rsidR="008B54D4">
        <w:rPr>
          <w:color w:val="000000"/>
        </w:rPr>
        <w:t>’</w:t>
      </w:r>
      <w:r>
        <w:rPr>
          <w:color w:val="000000"/>
        </w:rPr>
        <w:t>s mediation order</w:t>
      </w:r>
      <w:r w:rsidR="008B54D4">
        <w:rPr>
          <w:color w:val="000000"/>
        </w:rPr>
        <w:t>,</w:t>
      </w:r>
      <w:r>
        <w:rPr>
          <w:color w:val="000000"/>
        </w:rPr>
        <w:t xml:space="preserve"> the participating “Mediation Parties” were the Debtors</w:t>
      </w:r>
      <w:r w:rsidR="008B54D4">
        <w:rPr>
          <w:color w:val="000000"/>
        </w:rPr>
        <w:t>,</w:t>
      </w:r>
      <w:r>
        <w:rPr>
          <w:color w:val="000000"/>
        </w:rPr>
        <w:t xml:space="preserve"> the UCC</w:t>
      </w:r>
      <w:r w:rsidR="008B54D4">
        <w:rPr>
          <w:color w:val="000000"/>
        </w:rPr>
        <w:t>,</w:t>
      </w:r>
      <w:r>
        <w:rPr>
          <w:color w:val="000000"/>
        </w:rPr>
        <w:t xml:space="preserve"> the AHC</w:t>
      </w:r>
      <w:r w:rsidR="008B54D4">
        <w:rPr>
          <w:color w:val="000000"/>
        </w:rPr>
        <w:t>,</w:t>
      </w:r>
      <w:r>
        <w:rPr>
          <w:color w:val="000000"/>
        </w:rPr>
        <w:t xml:space="preserve"> the NCSG</w:t>
      </w:r>
      <w:r w:rsidR="008B54D4">
        <w:rPr>
          <w:color w:val="000000"/>
        </w:rPr>
        <w:t>,</w:t>
      </w:r>
      <w:r>
        <w:rPr>
          <w:color w:val="000000"/>
        </w:rPr>
        <w:t xml:space="preserve"> the MSGE</w:t>
      </w:r>
      <w:r w:rsidR="008B54D4">
        <w:rPr>
          <w:color w:val="000000"/>
        </w:rPr>
        <w:t>,</w:t>
      </w:r>
      <w:r>
        <w:rPr>
          <w:color w:val="000000"/>
        </w:rPr>
        <w:t xml:space="preserve"> the PI Ad Hoc Group</w:t>
      </w:r>
      <w:r w:rsidR="008B54D4">
        <w:rPr>
          <w:color w:val="000000"/>
        </w:rPr>
        <w:t>,</w:t>
      </w:r>
      <w:r>
        <w:rPr>
          <w:color w:val="000000"/>
        </w:rPr>
        <w:t xml:space="preserve"> NAS Children</w:t>
      </w:r>
      <w:r w:rsidR="008B54D4">
        <w:rPr>
          <w:color w:val="000000"/>
        </w:rPr>
        <w:t>,</w:t>
      </w:r>
      <w:r>
        <w:rPr>
          <w:color w:val="000000"/>
        </w:rPr>
        <w:t xml:space="preserve"> the Hospitals</w:t>
      </w:r>
      <w:r w:rsidR="008B54D4">
        <w:rPr>
          <w:color w:val="000000"/>
        </w:rPr>
        <w:t>,</w:t>
      </w:r>
      <w:r>
        <w:rPr>
          <w:color w:val="000000"/>
        </w:rPr>
        <w:t xml:space="preserve"> the TPP group</w:t>
      </w:r>
      <w:r w:rsidR="008B54D4">
        <w:rPr>
          <w:color w:val="000000"/>
        </w:rPr>
        <w:t>,</w:t>
      </w:r>
      <w:r>
        <w:rPr>
          <w:color w:val="000000"/>
        </w:rPr>
        <w:t xml:space="preserve"> and the Ratepayers</w:t>
      </w:r>
      <w:r w:rsidR="006A227C">
        <w:rPr>
          <w:color w:val="000000"/>
        </w:rPr>
        <w:t xml:space="preserve">. </w:t>
      </w:r>
      <w:r>
        <w:rPr>
          <w:color w:val="000000"/>
        </w:rPr>
        <w:t>The Tribes Group</w:t>
      </w:r>
      <w:r w:rsidR="008B54D4">
        <w:rPr>
          <w:color w:val="000000"/>
        </w:rPr>
        <w:t>,</w:t>
      </w:r>
      <w:r>
        <w:rPr>
          <w:color w:val="000000"/>
        </w:rPr>
        <w:t xml:space="preserve"> the Public Schools</w:t>
      </w:r>
      <w:r w:rsidR="008B54D4">
        <w:rPr>
          <w:color w:val="000000"/>
        </w:rPr>
        <w:t>,</w:t>
      </w:r>
      <w:r>
        <w:rPr>
          <w:color w:val="000000"/>
        </w:rPr>
        <w:t xml:space="preserve"> the National Association for the Advancement of Colored People</w:t>
      </w:r>
      <w:r w:rsidR="008B54D4">
        <w:rPr>
          <w:color w:val="000000"/>
        </w:rPr>
        <w:t>,</w:t>
      </w:r>
      <w:r>
        <w:rPr>
          <w:color w:val="000000"/>
        </w:rPr>
        <w:t xml:space="preserve"> and others also participated in mediation</w:t>
      </w:r>
      <w:r w:rsidR="008B54D4">
        <w:rPr>
          <w:color w:val="000000"/>
        </w:rPr>
        <w:t>,</w:t>
      </w:r>
      <w:r>
        <w:rPr>
          <w:color w:val="000000"/>
        </w:rPr>
        <w:t xml:space="preserve"> although not as official Mediation Parties</w:t>
      </w:r>
      <w:r w:rsidR="006A227C">
        <w:rPr>
          <w:color w:val="000000"/>
        </w:rPr>
        <w:t xml:space="preserve">. </w:t>
      </w:r>
    </w:p>
    <w:p w14:paraId="7E3D5C5F" w14:textId="3C0BFEEC" w:rsidR="00A77BBD" w:rsidRDefault="00A77BBD" w:rsidP="00A77BBD">
      <w:pPr>
        <w:pStyle w:val="BodyTextFirstIndent"/>
      </w:pPr>
      <w:r>
        <w:rPr>
          <w:color w:val="000000"/>
        </w:rPr>
        <w:t>The mediation progressed in three phases</w:t>
      </w:r>
      <w:r w:rsidR="008344B3">
        <w:rPr>
          <w:color w:val="000000"/>
        </w:rPr>
        <w:t xml:space="preserve">, </w:t>
      </w:r>
      <w:r>
        <w:rPr>
          <w:color w:val="000000"/>
        </w:rPr>
        <w:t>as follows:</w:t>
      </w:r>
    </w:p>
    <w:p w14:paraId="130DA605" w14:textId="3BE6FE56" w:rsidR="00A77BBD" w:rsidRDefault="00A77BBD" w:rsidP="001D3B34">
      <w:pPr>
        <w:pStyle w:val="Heading3"/>
      </w:pPr>
      <w:r>
        <w:t>Phase 1:  March 2020-September 2020</w:t>
      </w:r>
    </w:p>
    <w:p w14:paraId="0DA6CAE3" w14:textId="1A282BD9" w:rsidR="00A77BBD" w:rsidRDefault="00A77BBD" w:rsidP="00A77BBD">
      <w:pPr>
        <w:pStyle w:val="BodyTextFirstIndent"/>
      </w:pPr>
      <w:r>
        <w:rPr>
          <w:color w:val="000000"/>
        </w:rPr>
        <w:t>Phase one of the mediation addressed “the allocation of value/proceeds available from the Debtors</w:t>
      </w:r>
      <w:r w:rsidR="008B54D4">
        <w:rPr>
          <w:color w:val="000000"/>
        </w:rPr>
        <w:t>’</w:t>
      </w:r>
      <w:r>
        <w:rPr>
          <w:color w:val="000000"/>
        </w:rPr>
        <w:t xml:space="preserve"> Estates” as disputed between the “Non-Federal Public Claimants” (the states</w:t>
      </w:r>
      <w:r w:rsidR="008B54D4">
        <w:rPr>
          <w:color w:val="000000"/>
        </w:rPr>
        <w:t>,</w:t>
      </w:r>
      <w:r>
        <w:rPr>
          <w:color w:val="000000"/>
        </w:rPr>
        <w:t xml:space="preserve"> federal districts and </w:t>
      </w:r>
      <w:r w:rsidR="002F10FB">
        <w:rPr>
          <w:color w:val="000000"/>
        </w:rPr>
        <w:t xml:space="preserve">U.S. </w:t>
      </w:r>
      <w:r>
        <w:rPr>
          <w:color w:val="000000"/>
        </w:rPr>
        <w:t>territories</w:t>
      </w:r>
      <w:r w:rsidR="008B54D4">
        <w:rPr>
          <w:color w:val="000000"/>
        </w:rPr>
        <w:t>,</w:t>
      </w:r>
      <w:r>
        <w:rPr>
          <w:color w:val="000000"/>
        </w:rPr>
        <w:t xml:space="preserve"> political subdivisions</w:t>
      </w:r>
      <w:r w:rsidR="008B54D4">
        <w:rPr>
          <w:color w:val="000000"/>
        </w:rPr>
        <w:t>,</w:t>
      </w:r>
      <w:r>
        <w:rPr>
          <w:color w:val="000000"/>
        </w:rPr>
        <w:t xml:space="preserve"> and Native American tribes) and “Private Claimants” (hospitals</w:t>
      </w:r>
      <w:r w:rsidR="008B54D4">
        <w:rPr>
          <w:color w:val="000000"/>
        </w:rPr>
        <w:t>,</w:t>
      </w:r>
      <w:r>
        <w:rPr>
          <w:color w:val="000000"/>
        </w:rPr>
        <w:t xml:space="preserve"> private health insurance carriers and third-party payors</w:t>
      </w:r>
      <w:r w:rsidR="008B54D4">
        <w:rPr>
          <w:color w:val="000000"/>
        </w:rPr>
        <w:t>,</w:t>
      </w:r>
      <w:r>
        <w:rPr>
          <w:color w:val="000000"/>
        </w:rPr>
        <w:t xml:space="preserve"> and individuals and estates asserting personal injury</w:t>
      </w:r>
      <w:r w:rsidR="008B54D4">
        <w:rPr>
          <w:color w:val="000000"/>
        </w:rPr>
        <w:t>,</w:t>
      </w:r>
      <w:r>
        <w:rPr>
          <w:color w:val="000000"/>
        </w:rPr>
        <w:t xml:space="preserve"> including NAS Children)</w:t>
      </w:r>
      <w:r w:rsidR="006A227C">
        <w:rPr>
          <w:color w:val="000000"/>
        </w:rPr>
        <w:t xml:space="preserve">. </w:t>
      </w:r>
      <w:r>
        <w:rPr>
          <w:color w:val="000000"/>
        </w:rPr>
        <w:t>It proceeded with a “series of rigorous formal mediation sessions during the period from March 6</w:t>
      </w:r>
      <w:r w:rsidR="008B54D4">
        <w:rPr>
          <w:color w:val="000000"/>
        </w:rPr>
        <w:t>,</w:t>
      </w:r>
      <w:r>
        <w:rPr>
          <w:color w:val="000000"/>
        </w:rPr>
        <w:t xml:space="preserve"> 2020 to September 11</w:t>
      </w:r>
      <w:r w:rsidR="008B54D4">
        <w:rPr>
          <w:color w:val="000000"/>
        </w:rPr>
        <w:t>,</w:t>
      </w:r>
      <w:r>
        <w:rPr>
          <w:color w:val="000000"/>
        </w:rPr>
        <w:t xml:space="preserve"> 2020</w:t>
      </w:r>
      <w:r w:rsidR="00FA79C1">
        <w:rPr>
          <w:color w:val="000000"/>
        </w:rPr>
        <w:t xml:space="preserve">.” </w:t>
      </w:r>
    </w:p>
    <w:p w14:paraId="52C21B5D" w14:textId="5A6930FA" w:rsidR="00A77BBD" w:rsidRDefault="00A77BBD" w:rsidP="00A77BBD">
      <w:pPr>
        <w:pStyle w:val="BodyTextFirstIndent"/>
      </w:pPr>
      <w:r>
        <w:rPr>
          <w:color w:val="000000"/>
        </w:rPr>
        <w:t>The mediation resulted in certain resolutions the most critical of which included value allocation between and among the various parties</w:t>
      </w:r>
      <w:r w:rsidR="008B54D4">
        <w:rPr>
          <w:color w:val="000000"/>
        </w:rPr>
        <w:t>,</w:t>
      </w:r>
      <w:r>
        <w:rPr>
          <w:color w:val="000000"/>
        </w:rPr>
        <w:t xml:space="preserve"> such as:</w:t>
      </w:r>
    </w:p>
    <w:p w14:paraId="7BA0A1C3" w14:textId="76CF5471" w:rsidR="00A77BBD" w:rsidRDefault="00A77BBD" w:rsidP="001D3B34">
      <w:pPr>
        <w:pStyle w:val="BlockText"/>
      </w:pPr>
      <w:r>
        <w:t>First</w:t>
      </w:r>
      <w:r w:rsidR="008B54D4">
        <w:t>,</w:t>
      </w:r>
      <w:r>
        <w:t xml:space="preserve"> the Non-Federal Public Claimants agreed that all value received by them through the Chapter 11 Cases would be exclusively dedicated to programs designed to abate the opioid crisis </w:t>
      </w:r>
      <w:r w:rsidR="006A227C">
        <w:t xml:space="preserve">.  .  </w:t>
      </w:r>
      <w:r>
        <w:t>.</w:t>
      </w:r>
    </w:p>
    <w:p w14:paraId="5C6AB405" w14:textId="06821058" w:rsidR="00A77BBD" w:rsidRDefault="00A77BBD" w:rsidP="001D3B34">
      <w:pPr>
        <w:pStyle w:val="BlockText"/>
      </w:pPr>
      <w:r>
        <w:t>Second</w:t>
      </w:r>
      <w:r w:rsidR="008B54D4">
        <w:t>,</w:t>
      </w:r>
      <w:r>
        <w:t xml:space="preserve"> the Non-Federal Public Claimants addressed and resolved </w:t>
      </w:r>
      <w:r w:rsidR="00110F91">
        <w:t xml:space="preserve">. . . </w:t>
      </w:r>
      <w:r>
        <w:t xml:space="preserve">value allocation for all Native American Tribes </w:t>
      </w:r>
      <w:r w:rsidR="00110F91">
        <w:t xml:space="preserve">. . . </w:t>
      </w:r>
      <w:r>
        <w:t>and a default mechanism that</w:t>
      </w:r>
      <w:r w:rsidR="008B54D4">
        <w:t>,</w:t>
      </w:r>
      <w:r>
        <w:t xml:space="preserve"> in the absence of a stand-alone agreement between a State or territory and its political subdivisions</w:t>
      </w:r>
      <w:r w:rsidR="008B54D4">
        <w:t>,</w:t>
      </w:r>
      <w:r>
        <w:t xml:space="preserve"> provides a structure and process for applying funds to abate the opioid crisis </w:t>
      </w:r>
      <w:r w:rsidR="006A227C">
        <w:t xml:space="preserve">.  .  </w:t>
      </w:r>
      <w:r>
        <w:t>.</w:t>
      </w:r>
    </w:p>
    <w:p w14:paraId="0488F92A" w14:textId="3E9BC3A2" w:rsidR="00A77BBD" w:rsidRDefault="00A77BBD" w:rsidP="001D3B34">
      <w:pPr>
        <w:pStyle w:val="BlockText"/>
      </w:pPr>
      <w:r>
        <w:t>Third</w:t>
      </w:r>
      <w:r w:rsidR="008B54D4">
        <w:t>,</w:t>
      </w:r>
      <w:r>
        <w:t xml:space="preserve"> agreement was reached on written term sheets with certain individual Private Claimant groups that addressed allocation of estate value to each Private Claimant group</w:t>
      </w:r>
      <w:r w:rsidR="006A227C">
        <w:t xml:space="preserve">.  </w:t>
      </w:r>
      <w:r>
        <w:t>These agreements provided</w:t>
      </w:r>
      <w:r w:rsidR="008B54D4">
        <w:t>,</w:t>
      </w:r>
      <w:r>
        <w:t xml:space="preserve"> among other things</w:t>
      </w:r>
      <w:r w:rsidR="008B54D4">
        <w:t>,</w:t>
      </w:r>
      <w:r>
        <w:t xml:space="preserve"> that each class of Private Claimants will receive fixed cash distributions over time</w:t>
      </w:r>
      <w:r w:rsidR="008B54D4">
        <w:t>,</w:t>
      </w:r>
      <w:r>
        <w:t xml:space="preserve"> the values and time periods varying for each class</w:t>
      </w:r>
      <w:r w:rsidR="006A227C">
        <w:t xml:space="preserve">.  </w:t>
      </w:r>
      <w:r>
        <w:t>Moreover</w:t>
      </w:r>
      <w:r w:rsidR="008B54D4">
        <w:t>,</w:t>
      </w:r>
      <w:r>
        <w:t xml:space="preserve"> the Ad Hoc Group of Hospitals</w:t>
      </w:r>
      <w:r w:rsidR="008B54D4">
        <w:t>,</w:t>
      </w:r>
      <w:r>
        <w:t xml:space="preserve"> the Third-Party Payors</w:t>
      </w:r>
      <w:r w:rsidR="008B54D4">
        <w:t>,</w:t>
      </w:r>
      <w:r>
        <w:t xml:space="preserve"> and the NAS Committee (with regard to medical monitoring) each agreed to dedicate substantially all the distributions from their respective Private Creditor Trusts to abate the opioid crisis.</w:t>
      </w:r>
    </w:p>
    <w:p w14:paraId="15CB6F77" w14:textId="7B04367E" w:rsidR="00A77BBD" w:rsidRDefault="00A77BBD" w:rsidP="001D3B34">
      <w:pPr>
        <w:pStyle w:val="BodyTextFirstIndent"/>
        <w:ind w:firstLine="0"/>
      </w:pPr>
      <w:r>
        <w:rPr>
          <w:color w:val="000000"/>
        </w:rPr>
        <w:t>Ultimately</w:t>
      </w:r>
      <w:r w:rsidR="008B54D4">
        <w:rPr>
          <w:color w:val="000000"/>
        </w:rPr>
        <w:t>,</w:t>
      </w:r>
      <w:r>
        <w:rPr>
          <w:color w:val="000000"/>
        </w:rPr>
        <w:t xml:space="preserve"> all participants except “the public school districts and the NAS children physical injury group” were able to achieve “agreement </w:t>
      </w:r>
      <w:r>
        <w:rPr>
          <w:i/>
          <w:iCs/>
          <w:color w:val="000000"/>
        </w:rPr>
        <w:t>inter se</w:t>
      </w:r>
      <w:r>
        <w:rPr>
          <w:color w:val="000000"/>
        </w:rPr>
        <w:t xml:space="preserve"> as to their respective allocations as a result of the mediation process</w:t>
      </w:r>
      <w:r w:rsidR="00FA79C1">
        <w:rPr>
          <w:color w:val="000000"/>
        </w:rPr>
        <w:t xml:space="preserve">.”  </w:t>
      </w:r>
    </w:p>
    <w:p w14:paraId="387FEC57" w14:textId="2BB2DE81" w:rsidR="00A77BBD" w:rsidRDefault="00A77BBD" w:rsidP="00A77BBD">
      <w:pPr>
        <w:pStyle w:val="BodyTextFirstIndent"/>
      </w:pPr>
      <w:r>
        <w:rPr>
          <w:color w:val="000000"/>
        </w:rPr>
        <w:t xml:space="preserve">Each of the term sheets with the private plaintiffs was conditioned on the confirmation of a plan of reorganization that includes participation by the </w:t>
      </w:r>
      <w:r w:rsidR="00E82FD6">
        <w:rPr>
          <w:color w:val="000000"/>
        </w:rPr>
        <w:t>Packler</w:t>
      </w:r>
      <w:r>
        <w:rPr>
          <w:color w:val="000000"/>
        </w:rPr>
        <w:t xml:space="preserve"> Families in the plan of reorganization</w:t>
      </w:r>
      <w:r w:rsidR="006A227C">
        <w:rPr>
          <w:color w:val="000000"/>
        </w:rPr>
        <w:t xml:space="preserve">.  </w:t>
      </w:r>
    </w:p>
    <w:p w14:paraId="1E9AA3B8" w14:textId="32BB7ECB" w:rsidR="00A77BBD" w:rsidRDefault="00A77BBD" w:rsidP="00A77BBD">
      <w:pPr>
        <w:pStyle w:val="BodyTextFirstIndent"/>
      </w:pPr>
      <w:r>
        <w:rPr>
          <w:color w:val="000000"/>
        </w:rPr>
        <w:t>However</w:t>
      </w:r>
      <w:r w:rsidR="008B54D4">
        <w:rPr>
          <w:color w:val="000000"/>
        </w:rPr>
        <w:t>,</w:t>
      </w:r>
      <w:r>
        <w:rPr>
          <w:color w:val="000000"/>
        </w:rPr>
        <w:t xml:space="preserve"> not all issues were resolved</w:t>
      </w:r>
      <w:r w:rsidR="006A227C">
        <w:rPr>
          <w:color w:val="000000"/>
        </w:rPr>
        <w:t xml:space="preserve">.  </w:t>
      </w:r>
      <w:r>
        <w:rPr>
          <w:color w:val="000000"/>
        </w:rPr>
        <w:t>On September 23</w:t>
      </w:r>
      <w:r w:rsidR="008B54D4">
        <w:rPr>
          <w:color w:val="000000"/>
        </w:rPr>
        <w:t>,</w:t>
      </w:r>
      <w:r>
        <w:rPr>
          <w:color w:val="000000"/>
        </w:rPr>
        <w:t xml:space="preserve"> 2020</w:t>
      </w:r>
      <w:r w:rsidR="008B54D4">
        <w:rPr>
          <w:color w:val="000000"/>
        </w:rPr>
        <w:t>,</w:t>
      </w:r>
      <w:r>
        <w:rPr>
          <w:color w:val="000000"/>
        </w:rPr>
        <w:t xml:space="preserve"> while phase one of the mediation had reached “substantial completion”</w:t>
      </w:r>
      <w:r w:rsidR="00F547D7">
        <w:rPr>
          <w:color w:val="000000"/>
        </w:rPr>
        <w:t xml:space="preserve">, </w:t>
      </w:r>
      <w:r>
        <w:rPr>
          <w:color w:val="000000"/>
        </w:rPr>
        <w:t>the mediators</w:t>
      </w:r>
      <w:r w:rsidR="008B54D4">
        <w:rPr>
          <w:color w:val="000000"/>
        </w:rPr>
        <w:t>’</w:t>
      </w:r>
      <w:r>
        <w:rPr>
          <w:color w:val="000000"/>
        </w:rPr>
        <w:t xml:space="preserve"> report indicated that “there remain terms to be negotiated by the parties with respect to each of the term sheets in order to reach final agreements </w:t>
      </w:r>
      <w:r w:rsidR="006A227C">
        <w:rPr>
          <w:color w:val="000000"/>
        </w:rPr>
        <w:t xml:space="preserve">. . </w:t>
      </w:r>
      <w:r w:rsidR="00FA79C1">
        <w:rPr>
          <w:color w:val="000000"/>
        </w:rPr>
        <w:t xml:space="preserve">.”  </w:t>
      </w:r>
      <w:r>
        <w:rPr>
          <w:color w:val="000000"/>
        </w:rPr>
        <w:t>With several open terms and the estate claims still to be negotiated</w:t>
      </w:r>
      <w:r w:rsidR="008B54D4">
        <w:rPr>
          <w:color w:val="000000"/>
        </w:rPr>
        <w:t>,</w:t>
      </w:r>
      <w:r>
        <w:rPr>
          <w:color w:val="000000"/>
        </w:rPr>
        <w:t xml:space="preserve"> on September 30</w:t>
      </w:r>
      <w:r w:rsidR="008B54D4">
        <w:rPr>
          <w:color w:val="000000"/>
        </w:rPr>
        <w:t>,</w:t>
      </w:r>
      <w:r>
        <w:rPr>
          <w:color w:val="000000"/>
        </w:rPr>
        <w:t xml:space="preserve"> the Bankruptcy Court entered a Supplemental Mediation Order</w:t>
      </w:r>
      <w:r w:rsidR="008B54D4">
        <w:rPr>
          <w:color w:val="000000"/>
        </w:rPr>
        <w:t>,</w:t>
      </w:r>
      <w:r>
        <w:rPr>
          <w:color w:val="000000"/>
        </w:rPr>
        <w:t xml:space="preserve"> authorizing further mediation to resolve the open issues and to mediate the estate claims (phase 2)</w:t>
      </w:r>
      <w:r w:rsidR="006A227C">
        <w:rPr>
          <w:color w:val="000000"/>
        </w:rPr>
        <w:t xml:space="preserve">.  </w:t>
      </w:r>
    </w:p>
    <w:p w14:paraId="2D8782B7" w14:textId="30E9C822" w:rsidR="00A77BBD" w:rsidRDefault="00A77BBD" w:rsidP="001D3B34">
      <w:pPr>
        <w:pStyle w:val="Heading3"/>
      </w:pPr>
      <w:r>
        <w:t>Phase 2:  October 2020-January 31</w:t>
      </w:r>
      <w:r w:rsidR="008B54D4">
        <w:t>,</w:t>
      </w:r>
      <w:r>
        <w:t xml:space="preserve"> 2021</w:t>
      </w:r>
    </w:p>
    <w:p w14:paraId="42AE7B26" w14:textId="4F7BEC42" w:rsidR="00A77BBD" w:rsidRDefault="00A77BBD" w:rsidP="00A77BBD">
      <w:pPr>
        <w:pStyle w:val="BodyTextFirstIndent"/>
      </w:pPr>
      <w:r>
        <w:rPr>
          <w:color w:val="000000"/>
        </w:rPr>
        <w:t>The Bankruptcy Court</w:t>
      </w:r>
      <w:r w:rsidR="008B54D4">
        <w:rPr>
          <w:color w:val="000000"/>
        </w:rPr>
        <w:t>’</w:t>
      </w:r>
      <w:r>
        <w:rPr>
          <w:color w:val="000000"/>
        </w:rPr>
        <w:t xml:space="preserve">s Supplemental Mediation Order authorized the mediators “to mediate any and all potential claims or causes of action that may be asserted by the estate or any of the Non-Federal Public Claimants” against the </w:t>
      </w:r>
      <w:r w:rsidR="00E82FD6">
        <w:rPr>
          <w:color w:val="000000"/>
        </w:rPr>
        <w:t>Packler</w:t>
      </w:r>
      <w:r>
        <w:rPr>
          <w:color w:val="000000"/>
        </w:rPr>
        <w:t xml:space="preserve"> families and entities “or that may otherwise become the subject of releases potentially granted to” members of the </w:t>
      </w:r>
      <w:r w:rsidR="00E82FD6">
        <w:rPr>
          <w:color w:val="000000"/>
        </w:rPr>
        <w:t>Packler</w:t>
      </w:r>
      <w:r>
        <w:rPr>
          <w:color w:val="000000"/>
        </w:rPr>
        <w:t xml:space="preserve"> families and entities (defined as the “Shareholder Claims</w:t>
      </w:r>
      <w:r w:rsidR="008344B3">
        <w:rPr>
          <w:color w:val="000000"/>
        </w:rPr>
        <w:t xml:space="preserve">”). </w:t>
      </w:r>
      <w:r>
        <w:rPr>
          <w:color w:val="000000"/>
        </w:rPr>
        <w:t>This Order also “narrowed the number of mediating parties on the Shareholder Claims aspect of the mediation” to the Debtors</w:t>
      </w:r>
      <w:r w:rsidR="008B54D4">
        <w:rPr>
          <w:color w:val="000000"/>
        </w:rPr>
        <w:t>,</w:t>
      </w:r>
      <w:r>
        <w:rPr>
          <w:color w:val="000000"/>
        </w:rPr>
        <w:t xml:space="preserve"> the UCC</w:t>
      </w:r>
      <w:r w:rsidR="008B54D4">
        <w:rPr>
          <w:color w:val="000000"/>
        </w:rPr>
        <w:t>,</w:t>
      </w:r>
      <w:r>
        <w:rPr>
          <w:color w:val="000000"/>
        </w:rPr>
        <w:t xml:space="preserve"> the “Consenting Ad Hoc Committee</w:t>
      </w:r>
      <w:r w:rsidR="008B54D4">
        <w:rPr>
          <w:color w:val="000000"/>
        </w:rPr>
        <w:t>,</w:t>
      </w:r>
      <w:r>
        <w:rPr>
          <w:color w:val="000000"/>
        </w:rPr>
        <w:t>”</w:t>
      </w:r>
      <w:r>
        <w:rPr>
          <w:rStyle w:val="FootnoteReference"/>
          <w:rFonts w:eastAsia="Times New Roman" w:cs="Times New Roman"/>
          <w:color w:val="000000"/>
          <w:vertAlign w:val="superscript"/>
        </w:rPr>
        <w:footnoteReference w:id="16"/>
      </w:r>
      <w:r>
        <w:rPr>
          <w:color w:val="000000"/>
        </w:rPr>
        <w:t xml:space="preserve"> the NCSG</w:t>
      </w:r>
      <w:r w:rsidR="008B54D4">
        <w:rPr>
          <w:color w:val="000000"/>
        </w:rPr>
        <w:t>,</w:t>
      </w:r>
      <w:r>
        <w:rPr>
          <w:color w:val="000000"/>
        </w:rPr>
        <w:t xml:space="preserve"> the MSGE</w:t>
      </w:r>
      <w:r w:rsidR="008B54D4">
        <w:rPr>
          <w:color w:val="000000"/>
        </w:rPr>
        <w:t>,</w:t>
      </w:r>
      <w:r>
        <w:rPr>
          <w:color w:val="000000"/>
        </w:rPr>
        <w:t xml:space="preserve"> and representatives of the </w:t>
      </w:r>
      <w:r w:rsidR="00E82FD6">
        <w:rPr>
          <w:color w:val="000000"/>
        </w:rPr>
        <w:t>Packler</w:t>
      </w:r>
      <w:r>
        <w:rPr>
          <w:color w:val="000000"/>
        </w:rPr>
        <w:t>s</w:t>
      </w:r>
      <w:r w:rsidR="006A227C">
        <w:rPr>
          <w:color w:val="000000"/>
        </w:rPr>
        <w:t xml:space="preserve">. </w:t>
      </w:r>
    </w:p>
    <w:p w14:paraId="3AB74463" w14:textId="255A6A73" w:rsidR="00A77BBD" w:rsidRDefault="00A77BBD" w:rsidP="00A77BBD">
      <w:pPr>
        <w:pStyle w:val="BodyTextFirstIndent"/>
      </w:pPr>
      <w:r>
        <w:rPr>
          <w:color w:val="000000"/>
        </w:rPr>
        <w:t>In phase two</w:t>
      </w:r>
      <w:r w:rsidR="008B54D4">
        <w:rPr>
          <w:color w:val="000000"/>
        </w:rPr>
        <w:t>,</w:t>
      </w:r>
      <w:r>
        <w:rPr>
          <w:color w:val="000000"/>
        </w:rPr>
        <w:t xml:space="preserve"> the mediators received presentations from the parties on their positions regarding the estate claims</w:t>
      </w:r>
      <w:r w:rsidR="008B54D4">
        <w:rPr>
          <w:color w:val="000000"/>
        </w:rPr>
        <w:t>,</w:t>
      </w:r>
      <w:r>
        <w:rPr>
          <w:color w:val="000000"/>
        </w:rPr>
        <w:t xml:space="preserve"> including a presentation by the UCC of its “views and findings on its investigation of estate causes of action</w:t>
      </w:r>
      <w:r w:rsidR="00FA79C1">
        <w:rPr>
          <w:color w:val="000000"/>
        </w:rPr>
        <w:t>.”</w:t>
      </w:r>
      <w:r>
        <w:rPr>
          <w:rStyle w:val="FootnoteReference"/>
          <w:rFonts w:eastAsia="Times New Roman" w:cs="Times New Roman"/>
          <w:color w:val="000000"/>
          <w:vertAlign w:val="superscript"/>
        </w:rPr>
        <w:footnoteReference w:id="17"/>
      </w:r>
      <w:r>
        <w:rPr>
          <w:color w:val="000000"/>
        </w:rPr>
        <w:t xml:space="preserve"> After the presentations</w:t>
      </w:r>
      <w:r w:rsidR="008B54D4">
        <w:rPr>
          <w:color w:val="000000"/>
        </w:rPr>
        <w:t>,</w:t>
      </w:r>
      <w:r>
        <w:rPr>
          <w:color w:val="000000"/>
        </w:rPr>
        <w:t xml:space="preserve"> “numerical negotiation began</w:t>
      </w:r>
      <w:r w:rsidR="008B54D4">
        <w:rPr>
          <w:color w:val="000000"/>
        </w:rPr>
        <w:t>,</w:t>
      </w:r>
      <w:r>
        <w:rPr>
          <w:color w:val="000000"/>
        </w:rPr>
        <w:t>” with offers and counteroffers proposed</w:t>
      </w:r>
      <w:r w:rsidR="006A227C">
        <w:rPr>
          <w:color w:val="000000"/>
        </w:rPr>
        <w:t xml:space="preserve">.  </w:t>
      </w:r>
      <w:r>
        <w:rPr>
          <w:color w:val="000000"/>
        </w:rPr>
        <w:t>However</w:t>
      </w:r>
      <w:r w:rsidR="008B54D4">
        <w:rPr>
          <w:color w:val="000000"/>
        </w:rPr>
        <w:t>,</w:t>
      </w:r>
      <w:r>
        <w:rPr>
          <w:color w:val="000000"/>
        </w:rPr>
        <w:t xml:space="preserve"> no “mutually agreed resolution” was reached among all constituencies before the end of the phase two on January 31</w:t>
      </w:r>
      <w:r w:rsidR="008B54D4">
        <w:rPr>
          <w:color w:val="000000"/>
        </w:rPr>
        <w:t>,</w:t>
      </w:r>
      <w:r>
        <w:rPr>
          <w:color w:val="000000"/>
        </w:rPr>
        <w:t xml:space="preserve"> 2021</w:t>
      </w:r>
      <w:r w:rsidR="006A227C">
        <w:rPr>
          <w:color w:val="000000"/>
        </w:rPr>
        <w:t xml:space="preserve">. </w:t>
      </w:r>
    </w:p>
    <w:p w14:paraId="23C74CCE" w14:textId="48610550" w:rsidR="00A77BBD" w:rsidRDefault="00A77BBD" w:rsidP="001D3B34">
      <w:pPr>
        <w:pStyle w:val="Heading3"/>
      </w:pPr>
      <w:r>
        <w:t xml:space="preserve">Phase 2 Negotiations </w:t>
      </w:r>
      <w:r w:rsidR="00F547D7">
        <w:t>Co</w:t>
      </w:r>
      <w:r w:rsidR="003B7D4B">
        <w:t>ntin</w:t>
      </w:r>
      <w:r>
        <w:t xml:space="preserve">ue with the </w:t>
      </w:r>
      <w:r w:rsidR="00E82FD6">
        <w:t>Packler</w:t>
      </w:r>
      <w:r>
        <w:t xml:space="preserve"> families:  January 2021 to March 2021</w:t>
      </w:r>
    </w:p>
    <w:p w14:paraId="2FDA2F36" w14:textId="2D02647C" w:rsidR="00A77BBD" w:rsidRDefault="00A77BBD" w:rsidP="00A77BBD">
      <w:pPr>
        <w:pStyle w:val="BodyTextFirstIndent"/>
      </w:pPr>
      <w:r>
        <w:rPr>
          <w:color w:val="000000"/>
        </w:rPr>
        <w:t>Although court-ordered mediation formally ended on January 31</w:t>
      </w:r>
      <w:r w:rsidR="008B54D4">
        <w:rPr>
          <w:color w:val="000000"/>
        </w:rPr>
        <w:t>,</w:t>
      </w:r>
      <w:r>
        <w:rPr>
          <w:color w:val="000000"/>
        </w:rPr>
        <w:t xml:space="preserve"> 2021</w:t>
      </w:r>
      <w:r w:rsidR="008B54D4">
        <w:rPr>
          <w:color w:val="000000"/>
        </w:rPr>
        <w:t>,</w:t>
      </w:r>
      <w:r>
        <w:rPr>
          <w:color w:val="000000"/>
        </w:rPr>
        <w:t xml:space="preserve"> settlement negotiations </w:t>
      </w:r>
      <w:r w:rsidR="00F547D7">
        <w:rPr>
          <w:color w:val="000000"/>
        </w:rPr>
        <w:t>co</w:t>
      </w:r>
      <w:r w:rsidR="003B7D4B">
        <w:rPr>
          <w:color w:val="000000"/>
        </w:rPr>
        <w:t>ntin</w:t>
      </w:r>
      <w:r>
        <w:rPr>
          <w:color w:val="000000"/>
        </w:rPr>
        <w:t xml:space="preserve">ued among the </w:t>
      </w:r>
      <w:r w:rsidR="00E82FD6">
        <w:rPr>
          <w:color w:val="000000"/>
        </w:rPr>
        <w:t>Packler</w:t>
      </w:r>
      <w:r>
        <w:rPr>
          <w:color w:val="000000"/>
        </w:rPr>
        <w:t xml:space="preserve"> families and entities</w:t>
      </w:r>
      <w:r w:rsidR="008B54D4">
        <w:rPr>
          <w:color w:val="000000"/>
        </w:rPr>
        <w:t>,</w:t>
      </w:r>
      <w:r>
        <w:rPr>
          <w:color w:val="000000"/>
        </w:rPr>
        <w:t xml:space="preserve"> the Debtors</w:t>
      </w:r>
      <w:r w:rsidR="008B54D4">
        <w:rPr>
          <w:color w:val="000000"/>
        </w:rPr>
        <w:t>,</w:t>
      </w:r>
      <w:r>
        <w:rPr>
          <w:color w:val="000000"/>
        </w:rPr>
        <w:t xml:space="preserve"> the NCSG</w:t>
      </w:r>
      <w:r w:rsidR="008B54D4">
        <w:rPr>
          <w:color w:val="000000"/>
        </w:rPr>
        <w:t>,</w:t>
      </w:r>
      <w:r>
        <w:rPr>
          <w:color w:val="000000"/>
        </w:rPr>
        <w:t xml:space="preserve"> the UCC</w:t>
      </w:r>
      <w:r w:rsidR="008B54D4">
        <w:rPr>
          <w:color w:val="000000"/>
        </w:rPr>
        <w:t>,</w:t>
      </w:r>
      <w:r>
        <w:rPr>
          <w:color w:val="000000"/>
        </w:rPr>
        <w:t xml:space="preserve"> the ACH</w:t>
      </w:r>
      <w:r w:rsidR="008B54D4">
        <w:rPr>
          <w:color w:val="000000"/>
        </w:rPr>
        <w:t>,</w:t>
      </w:r>
      <w:r>
        <w:rPr>
          <w:color w:val="000000"/>
        </w:rPr>
        <w:t xml:space="preserve"> and the MSGE regarding the “</w:t>
      </w:r>
      <w:r w:rsidR="00E82FD6">
        <w:rPr>
          <w:color w:val="000000"/>
        </w:rPr>
        <w:t>Packler</w:t>
      </w:r>
      <w:r>
        <w:rPr>
          <w:color w:val="000000"/>
        </w:rPr>
        <w:t xml:space="preserve"> contribution” to the Debtors</w:t>
      </w:r>
      <w:r w:rsidR="008B54D4">
        <w:rPr>
          <w:color w:val="000000"/>
        </w:rPr>
        <w:t>’</w:t>
      </w:r>
      <w:r>
        <w:rPr>
          <w:color w:val="000000"/>
        </w:rPr>
        <w:t xml:space="preserve"> estate</w:t>
      </w:r>
      <w:r w:rsidR="006A227C">
        <w:rPr>
          <w:color w:val="000000"/>
        </w:rPr>
        <w:t xml:space="preserve">.  </w:t>
      </w:r>
      <w:r>
        <w:rPr>
          <w:color w:val="000000"/>
        </w:rPr>
        <w:t>Eight more offers and counteroffers were exchanged between the end of January 2021 and February 18</w:t>
      </w:r>
      <w:r w:rsidR="008B54D4">
        <w:rPr>
          <w:color w:val="000000"/>
        </w:rPr>
        <w:t>,</w:t>
      </w:r>
      <w:r>
        <w:rPr>
          <w:color w:val="000000"/>
        </w:rPr>
        <w:t xml:space="preserve"> 2021</w:t>
      </w:r>
      <w:r w:rsidR="006A227C">
        <w:rPr>
          <w:color w:val="000000"/>
        </w:rPr>
        <w:t xml:space="preserve">.  </w:t>
      </w:r>
    </w:p>
    <w:p w14:paraId="6052032E" w14:textId="5C2D1513" w:rsidR="00A77BBD" w:rsidRDefault="00A77BBD" w:rsidP="00A77BBD">
      <w:pPr>
        <w:pStyle w:val="BodyTextFirstIndent"/>
      </w:pPr>
      <w:r>
        <w:rPr>
          <w:color w:val="000000"/>
        </w:rPr>
        <w:t>Ultimately</w:t>
      </w:r>
      <w:r w:rsidR="008B54D4">
        <w:rPr>
          <w:color w:val="000000"/>
        </w:rPr>
        <w:t>,</w:t>
      </w:r>
      <w:r>
        <w:rPr>
          <w:color w:val="000000"/>
        </w:rPr>
        <w:t xml:space="preserve"> the </w:t>
      </w:r>
      <w:r w:rsidR="00E82FD6">
        <w:rPr>
          <w:color w:val="000000"/>
        </w:rPr>
        <w:t>Packler</w:t>
      </w:r>
      <w:r>
        <w:rPr>
          <w:color w:val="000000"/>
        </w:rPr>
        <w:t xml:space="preserve"> families and entities</w:t>
      </w:r>
      <w:r w:rsidR="008B54D4">
        <w:rPr>
          <w:color w:val="000000"/>
        </w:rPr>
        <w:t>,</w:t>
      </w:r>
      <w:r>
        <w:rPr>
          <w:color w:val="000000"/>
        </w:rPr>
        <w:t xml:space="preserve"> the Debtors</w:t>
      </w:r>
      <w:r w:rsidR="008B54D4">
        <w:rPr>
          <w:color w:val="000000"/>
        </w:rPr>
        <w:t>,</w:t>
      </w:r>
      <w:r>
        <w:rPr>
          <w:color w:val="000000"/>
        </w:rPr>
        <w:t xml:space="preserve"> the AHC</w:t>
      </w:r>
      <w:r w:rsidR="008B54D4">
        <w:rPr>
          <w:color w:val="000000"/>
        </w:rPr>
        <w:t>,</w:t>
      </w:r>
      <w:r>
        <w:rPr>
          <w:color w:val="000000"/>
        </w:rPr>
        <w:t xml:space="preserve"> the “Consenting Ad Hoc Committee</w:t>
      </w:r>
      <w:r w:rsidR="008B54D4">
        <w:rPr>
          <w:color w:val="000000"/>
        </w:rPr>
        <w:t>,</w:t>
      </w:r>
      <w:r>
        <w:rPr>
          <w:color w:val="000000"/>
        </w:rPr>
        <w:t>” and the MSGE reached an agreement in principle</w:t>
      </w:r>
      <w:r w:rsidR="008B54D4">
        <w:rPr>
          <w:color w:val="000000"/>
        </w:rPr>
        <w:t>,</w:t>
      </w:r>
      <w:r>
        <w:rPr>
          <w:color w:val="000000"/>
        </w:rPr>
        <w:t xml:space="preserve"> which settled on a guaranteed amount that the </w:t>
      </w:r>
      <w:r w:rsidR="00E82FD6">
        <w:rPr>
          <w:color w:val="000000"/>
        </w:rPr>
        <w:t>Packler</w:t>
      </w:r>
      <w:r>
        <w:rPr>
          <w:color w:val="000000"/>
        </w:rPr>
        <w:t xml:space="preserve"> families would be required to contribute to the Debtors</w:t>
      </w:r>
      <w:r w:rsidR="008B54D4">
        <w:rPr>
          <w:color w:val="000000"/>
        </w:rPr>
        <w:t>’</w:t>
      </w:r>
      <w:r>
        <w:rPr>
          <w:color w:val="000000"/>
        </w:rPr>
        <w:t xml:space="preserve"> estate -</w:t>
      </w:r>
      <w:r w:rsidR="00F547D7">
        <w:rPr>
          <w:color w:val="000000"/>
        </w:rPr>
        <w:t xml:space="preserve"> </w:t>
      </w:r>
      <w:r>
        <w:rPr>
          <w:color w:val="000000"/>
        </w:rPr>
        <w:t>$4.275 billion over nine years (or ten years if certain amounts were paid ahead of schedule in the first six years)</w:t>
      </w:r>
      <w:r w:rsidR="006A227C">
        <w:rPr>
          <w:color w:val="000000"/>
        </w:rPr>
        <w:t>.</w:t>
      </w:r>
      <w:r w:rsidR="00F547D7">
        <w:rPr>
          <w:rStyle w:val="FootnoteReference"/>
          <w:color w:val="000000"/>
        </w:rPr>
        <w:footnoteReference w:id="18"/>
      </w:r>
      <w:r w:rsidR="006A227C">
        <w:rPr>
          <w:color w:val="000000"/>
        </w:rPr>
        <w:t xml:space="preserve">  </w:t>
      </w:r>
      <w:r>
        <w:rPr>
          <w:color w:val="000000"/>
        </w:rPr>
        <w:t>The principal consideration for this payment was the “Shareholder Release” that was to be included in the Debtors</w:t>
      </w:r>
      <w:r w:rsidR="008B54D4">
        <w:rPr>
          <w:color w:val="000000"/>
        </w:rPr>
        <w:t>’</w:t>
      </w:r>
      <w:r>
        <w:rPr>
          <w:color w:val="000000"/>
        </w:rPr>
        <w:t xml:space="preserve"> plan of reorganization</w:t>
      </w:r>
      <w:r w:rsidR="006A227C">
        <w:rPr>
          <w:color w:val="000000"/>
        </w:rPr>
        <w:t xml:space="preserve">. </w:t>
      </w:r>
      <w:r>
        <w:rPr>
          <w:color w:val="000000"/>
        </w:rPr>
        <w:t>That plan</w:t>
      </w:r>
      <w:r w:rsidR="008B54D4">
        <w:rPr>
          <w:color w:val="000000"/>
        </w:rPr>
        <w:t>,</w:t>
      </w:r>
      <w:r>
        <w:rPr>
          <w:color w:val="000000"/>
        </w:rPr>
        <w:t xml:space="preserve"> along with the Debtors</w:t>
      </w:r>
      <w:r w:rsidR="008B54D4">
        <w:rPr>
          <w:color w:val="000000"/>
        </w:rPr>
        <w:t>’</w:t>
      </w:r>
      <w:r>
        <w:rPr>
          <w:color w:val="000000"/>
        </w:rPr>
        <w:t xml:space="preserve"> “Disclosure Statement” containing the “</w:t>
      </w:r>
      <w:r w:rsidR="00E82FD6">
        <w:rPr>
          <w:color w:val="000000"/>
        </w:rPr>
        <w:t>Packler</w:t>
      </w:r>
      <w:r>
        <w:rPr>
          <w:color w:val="000000"/>
        </w:rPr>
        <w:t xml:space="preserve"> Settlement Agreement Term Sheet” reached in negotiation</w:t>
      </w:r>
      <w:r w:rsidR="008B54D4">
        <w:rPr>
          <w:color w:val="000000"/>
        </w:rPr>
        <w:t>,</w:t>
      </w:r>
      <w:r>
        <w:rPr>
          <w:color w:val="000000"/>
        </w:rPr>
        <w:t xml:space="preserve"> were filed with the Bankruptcy Court on March 15</w:t>
      </w:r>
      <w:r w:rsidR="008B54D4">
        <w:rPr>
          <w:color w:val="000000"/>
        </w:rPr>
        <w:t>,</w:t>
      </w:r>
      <w:r>
        <w:rPr>
          <w:color w:val="000000"/>
        </w:rPr>
        <w:t xml:space="preserve"> 2021</w:t>
      </w:r>
      <w:r w:rsidR="006A227C">
        <w:rPr>
          <w:color w:val="000000"/>
        </w:rPr>
        <w:t xml:space="preserve">.  </w:t>
      </w:r>
    </w:p>
    <w:p w14:paraId="4550F060" w14:textId="56CD6E32" w:rsidR="00A77BBD" w:rsidRDefault="00A77BBD" w:rsidP="001D3B34">
      <w:pPr>
        <w:pStyle w:val="Heading3"/>
      </w:pPr>
      <w:r>
        <w:t>Phase 3:  May 7</w:t>
      </w:r>
      <w:r w:rsidR="008B54D4">
        <w:t>,</w:t>
      </w:r>
      <w:r>
        <w:t xml:space="preserve"> 2021</w:t>
      </w:r>
      <w:r w:rsidR="00F547D7">
        <w:t xml:space="preserve"> </w:t>
      </w:r>
      <w:r>
        <w:t>-</w:t>
      </w:r>
      <w:r w:rsidR="00F547D7">
        <w:t xml:space="preserve"> </w:t>
      </w:r>
      <w:r>
        <w:t>June 29</w:t>
      </w:r>
      <w:r w:rsidR="008B54D4">
        <w:t>,</w:t>
      </w:r>
      <w:r>
        <w:t xml:space="preserve"> 2021</w:t>
      </w:r>
    </w:p>
    <w:p w14:paraId="4D226598" w14:textId="5D2A6267" w:rsidR="00A77BBD" w:rsidRDefault="00A77BBD" w:rsidP="00A77BBD">
      <w:pPr>
        <w:pStyle w:val="BodyTextFirstIndent"/>
      </w:pPr>
      <w:r>
        <w:rPr>
          <w:color w:val="000000"/>
        </w:rPr>
        <w:t>Phase three of the mediation involved a final push to resolve the dispute of the NCSG</w:t>
      </w:r>
      <w:r>
        <w:rPr>
          <w:rStyle w:val="FootnoteReference"/>
          <w:rFonts w:eastAsia="Times New Roman" w:cs="Times New Roman"/>
          <w:color w:val="000000"/>
          <w:vertAlign w:val="superscript"/>
        </w:rPr>
        <w:footnoteReference w:id="19"/>
      </w:r>
      <w:r>
        <w:rPr>
          <w:color w:val="000000"/>
          <w:vertAlign w:val="superscript"/>
        </w:rPr>
        <w:t xml:space="preserve"> </w:t>
      </w:r>
      <w:r>
        <w:rPr>
          <w:color w:val="000000"/>
        </w:rPr>
        <w:t xml:space="preserve">over the terms of the agreement reached in phase two of the mediation between and among the </w:t>
      </w:r>
      <w:r w:rsidR="00E82FD6">
        <w:rPr>
          <w:color w:val="000000"/>
        </w:rPr>
        <w:t>Packler</w:t>
      </w:r>
      <w:r>
        <w:rPr>
          <w:color w:val="000000"/>
        </w:rPr>
        <w:t xml:space="preserve"> families and entities</w:t>
      </w:r>
      <w:r w:rsidR="008B54D4">
        <w:rPr>
          <w:color w:val="000000"/>
        </w:rPr>
        <w:t>,</w:t>
      </w:r>
      <w:r>
        <w:rPr>
          <w:color w:val="000000"/>
        </w:rPr>
        <w:t xml:space="preserve"> the Debtors</w:t>
      </w:r>
      <w:r w:rsidR="008B54D4">
        <w:rPr>
          <w:color w:val="000000"/>
        </w:rPr>
        <w:t>,</w:t>
      </w:r>
      <w:r>
        <w:rPr>
          <w:color w:val="000000"/>
        </w:rPr>
        <w:t xml:space="preserve"> the AHC</w:t>
      </w:r>
      <w:r w:rsidR="008B54D4">
        <w:rPr>
          <w:color w:val="000000"/>
        </w:rPr>
        <w:t>,</w:t>
      </w:r>
      <w:r>
        <w:rPr>
          <w:color w:val="000000"/>
        </w:rPr>
        <w:t xml:space="preserve"> the “Consenting Ad Hoc Committee</w:t>
      </w:r>
      <w:r w:rsidR="008B54D4">
        <w:rPr>
          <w:color w:val="000000"/>
        </w:rPr>
        <w:t>,</w:t>
      </w:r>
      <w:r>
        <w:rPr>
          <w:color w:val="000000"/>
        </w:rPr>
        <w:t>” and the MSGE</w:t>
      </w:r>
      <w:r w:rsidR="006A227C">
        <w:rPr>
          <w:color w:val="000000"/>
        </w:rPr>
        <w:t xml:space="preserve">.  </w:t>
      </w:r>
      <w:r>
        <w:rPr>
          <w:color w:val="000000"/>
        </w:rPr>
        <w:t>To that end</w:t>
      </w:r>
      <w:r w:rsidR="008B54D4">
        <w:rPr>
          <w:color w:val="000000"/>
        </w:rPr>
        <w:t>,</w:t>
      </w:r>
      <w:r>
        <w:rPr>
          <w:color w:val="000000"/>
        </w:rPr>
        <w:t xml:space="preserve"> on May 7</w:t>
      </w:r>
      <w:r w:rsidR="008B54D4">
        <w:rPr>
          <w:color w:val="000000"/>
        </w:rPr>
        <w:t>,</w:t>
      </w:r>
      <w:r>
        <w:rPr>
          <w:color w:val="000000"/>
        </w:rPr>
        <w:t xml:space="preserve"> 2021</w:t>
      </w:r>
      <w:r w:rsidR="008B54D4">
        <w:rPr>
          <w:color w:val="000000"/>
        </w:rPr>
        <w:t>,</w:t>
      </w:r>
      <w:r>
        <w:rPr>
          <w:color w:val="000000"/>
        </w:rPr>
        <w:t xml:space="preserve"> the Bankruptcy Court asked his colleague</w:t>
      </w:r>
      <w:r w:rsidR="008B54D4">
        <w:rPr>
          <w:color w:val="000000"/>
        </w:rPr>
        <w:t>,</w:t>
      </w:r>
      <w:r>
        <w:rPr>
          <w:color w:val="000000"/>
        </w:rPr>
        <w:t xml:space="preserve"> the Honorable</w:t>
      </w:r>
      <w:r w:rsidR="00665A76">
        <w:rPr>
          <w:color w:val="000000"/>
        </w:rPr>
        <w:t xml:space="preserve"> Julia</w:t>
      </w:r>
      <w:r>
        <w:rPr>
          <w:color w:val="000000"/>
        </w:rPr>
        <w:t xml:space="preserve"> C</w:t>
      </w:r>
      <w:r w:rsidR="006A227C">
        <w:rPr>
          <w:color w:val="000000"/>
        </w:rPr>
        <w:t xml:space="preserve">. </w:t>
      </w:r>
      <w:r>
        <w:rPr>
          <w:color w:val="000000"/>
        </w:rPr>
        <w:t>Chan</w:t>
      </w:r>
      <w:r w:rsidR="008B54D4">
        <w:rPr>
          <w:color w:val="000000"/>
        </w:rPr>
        <w:t>,</w:t>
      </w:r>
      <w:r>
        <w:rPr>
          <w:color w:val="000000"/>
        </w:rPr>
        <w:t xml:space="preserve"> to preside over a mediation between the NCSG and the </w:t>
      </w:r>
      <w:r w:rsidR="00E82FD6">
        <w:rPr>
          <w:color w:val="000000"/>
        </w:rPr>
        <w:t>Packler</w:t>
      </w:r>
      <w:r>
        <w:rPr>
          <w:color w:val="000000"/>
        </w:rPr>
        <w:t xml:space="preserve"> Families with respect to the terms of the settlement</w:t>
      </w:r>
      <w:r w:rsidR="006A227C">
        <w:rPr>
          <w:color w:val="000000"/>
        </w:rPr>
        <w:t xml:space="preserve">.  </w:t>
      </w:r>
      <w:r>
        <w:rPr>
          <w:color w:val="000000"/>
        </w:rPr>
        <w:t>Between May 7 and June 29</w:t>
      </w:r>
      <w:r w:rsidR="008B54D4">
        <w:rPr>
          <w:color w:val="000000"/>
        </w:rPr>
        <w:t>,</w:t>
      </w:r>
      <w:r>
        <w:rPr>
          <w:color w:val="000000"/>
        </w:rPr>
        <w:t xml:space="preserve"> 2021</w:t>
      </w:r>
      <w:r w:rsidR="008B54D4">
        <w:rPr>
          <w:color w:val="000000"/>
        </w:rPr>
        <w:t>,</w:t>
      </w:r>
      <w:r>
        <w:rPr>
          <w:color w:val="000000"/>
        </w:rPr>
        <w:t xml:space="preserve"> Judge Chan conducted 145 telephone meetings and several in-person sessions between the NCSG and the </w:t>
      </w:r>
      <w:r w:rsidR="00E82FD6">
        <w:rPr>
          <w:color w:val="000000"/>
        </w:rPr>
        <w:t>Packler</w:t>
      </w:r>
      <w:r>
        <w:rPr>
          <w:color w:val="000000"/>
        </w:rPr>
        <w:t xml:space="preserve"> families and entities</w:t>
      </w:r>
      <w:r w:rsidR="006A227C">
        <w:rPr>
          <w:color w:val="000000"/>
        </w:rPr>
        <w:t xml:space="preserve">. </w:t>
      </w:r>
    </w:p>
    <w:p w14:paraId="3BA06670" w14:textId="51EF9A16" w:rsidR="00A77BBD" w:rsidRDefault="00A77BBD" w:rsidP="00A77BBD">
      <w:pPr>
        <w:pStyle w:val="BodyTextFirstIndent"/>
      </w:pPr>
      <w:r>
        <w:rPr>
          <w:color w:val="000000"/>
        </w:rPr>
        <w:t xml:space="preserve">The result of the mediation was a modified shareholder settlement with the </w:t>
      </w:r>
      <w:r w:rsidR="00E82FD6">
        <w:rPr>
          <w:color w:val="000000"/>
        </w:rPr>
        <w:t>Packler</w:t>
      </w:r>
      <w:r>
        <w:rPr>
          <w:color w:val="000000"/>
        </w:rPr>
        <w:t xml:space="preserve"> families and entities</w:t>
      </w:r>
      <w:r w:rsidR="008B54D4">
        <w:rPr>
          <w:color w:val="000000"/>
        </w:rPr>
        <w:t>,</w:t>
      </w:r>
      <w:r>
        <w:rPr>
          <w:color w:val="000000"/>
        </w:rPr>
        <w:t xml:space="preserve"> which was agreed to in principle by a fifteen of the twenty-five non-consenting states</w:t>
      </w:r>
      <w:r w:rsidR="00405495">
        <w:rPr>
          <w:color w:val="000000"/>
        </w:rPr>
        <w:t xml:space="preserve">. </w:t>
      </w:r>
      <w:r>
        <w:rPr>
          <w:color w:val="000000"/>
        </w:rPr>
        <w:t>Those states that reached agreement in principle also agreed to support and/or not object to the Plan.</w:t>
      </w:r>
    </w:p>
    <w:p w14:paraId="1386B7F3" w14:textId="6932C2F4" w:rsidR="00A77BBD" w:rsidRDefault="00A77BBD" w:rsidP="00A77BBD">
      <w:pPr>
        <w:pStyle w:val="BodyTextFirstIndent"/>
      </w:pPr>
      <w:r>
        <w:rPr>
          <w:color w:val="000000"/>
        </w:rPr>
        <w:t>The remaining non-consenting states - most of which are parties to this appeal - did not agree to the revised settlement</w:t>
      </w:r>
      <w:r w:rsidR="006A227C">
        <w:rPr>
          <w:color w:val="000000"/>
        </w:rPr>
        <w:t xml:space="preserve">. </w:t>
      </w:r>
    </w:p>
    <w:p w14:paraId="324B8FEA" w14:textId="7C324CDA" w:rsidR="00A77BBD" w:rsidRDefault="00A77BBD" w:rsidP="00A77BBD">
      <w:pPr>
        <w:pStyle w:val="BodyTextFirstIndent"/>
      </w:pPr>
      <w:r>
        <w:rPr>
          <w:color w:val="000000"/>
        </w:rPr>
        <w:t xml:space="preserve">The new terms of the settlement included additional payments of $50 million by the </w:t>
      </w:r>
      <w:r w:rsidR="00E82FD6">
        <w:rPr>
          <w:color w:val="000000"/>
        </w:rPr>
        <w:t>Packler</w:t>
      </w:r>
      <w:r>
        <w:rPr>
          <w:color w:val="000000"/>
        </w:rPr>
        <w:t xml:space="preserve"> families</w:t>
      </w:r>
      <w:r w:rsidR="008B54D4">
        <w:rPr>
          <w:color w:val="000000"/>
        </w:rPr>
        <w:t>,</w:t>
      </w:r>
      <w:r>
        <w:rPr>
          <w:color w:val="000000"/>
        </w:rPr>
        <w:t xml:space="preserve"> and the acceleration of another $50 million in previously agreed settlement payments</w:t>
      </w:r>
      <w:r w:rsidR="008B54D4">
        <w:rPr>
          <w:color w:val="000000"/>
        </w:rPr>
        <w:t>,</w:t>
      </w:r>
      <w:r>
        <w:rPr>
          <w:color w:val="000000"/>
        </w:rPr>
        <w:t xml:space="preserve"> resulting in total payments of $4.325 billion</w:t>
      </w:r>
      <w:r w:rsidR="006A227C">
        <w:rPr>
          <w:color w:val="000000"/>
        </w:rPr>
        <w:t xml:space="preserve">.  </w:t>
      </w:r>
      <w:r>
        <w:rPr>
          <w:color w:val="000000"/>
        </w:rPr>
        <w:t>In addition to the money</w:t>
      </w:r>
      <w:r w:rsidR="008B54D4">
        <w:rPr>
          <w:color w:val="000000"/>
        </w:rPr>
        <w:t>,</w:t>
      </w:r>
      <w:r>
        <w:rPr>
          <w:color w:val="000000"/>
        </w:rPr>
        <w:t xml:space="preserve"> Judge Chapman induced the parties to agree to several non-monetary terms; specifically</w:t>
      </w:r>
      <w:r w:rsidR="008B54D4">
        <w:rPr>
          <w:color w:val="000000"/>
        </w:rPr>
        <w:t>,</w:t>
      </w:r>
      <w:r>
        <w:rPr>
          <w:color w:val="000000"/>
        </w:rPr>
        <w:t xml:space="preserve"> a “material expansion of the scope of the public document repository” to be established under the Plan</w:t>
      </w:r>
      <w:r w:rsidR="008B54D4">
        <w:rPr>
          <w:color w:val="000000"/>
        </w:rPr>
        <w:t>,</w:t>
      </w:r>
      <w:r>
        <w:rPr>
          <w:color w:val="000000"/>
        </w:rPr>
        <w:t xml:space="preserve"> and certain prohibitions on </w:t>
      </w:r>
      <w:r w:rsidR="00E82FD6">
        <w:rPr>
          <w:color w:val="000000"/>
        </w:rPr>
        <w:t>Packler</w:t>
      </w:r>
      <w:r>
        <w:rPr>
          <w:color w:val="000000"/>
        </w:rPr>
        <w:t xml:space="preserve"> family demands for naming rights in exchange for charitable contributions</w:t>
      </w:r>
      <w:r w:rsidR="008B54D4">
        <w:rPr>
          <w:color w:val="000000"/>
        </w:rPr>
        <w:t>,</w:t>
      </w:r>
      <w:r>
        <w:rPr>
          <w:color w:val="000000"/>
        </w:rPr>
        <w:t xml:space="preserve"> together with a few other</w:t>
      </w:r>
      <w:r w:rsidR="008B54D4">
        <w:rPr>
          <w:color w:val="000000"/>
        </w:rPr>
        <w:t>,</w:t>
      </w:r>
      <w:r>
        <w:rPr>
          <w:color w:val="000000"/>
        </w:rPr>
        <w:t xml:space="preserve"> minor concessions</w:t>
      </w:r>
      <w:r w:rsidR="006A227C">
        <w:rPr>
          <w:color w:val="000000"/>
        </w:rPr>
        <w:t>.</w:t>
      </w:r>
      <w:r>
        <w:rPr>
          <w:rStyle w:val="FootnoteReference"/>
          <w:rFonts w:eastAsia="Times New Roman" w:cs="Times New Roman"/>
          <w:color w:val="000000"/>
          <w:vertAlign w:val="superscript"/>
        </w:rPr>
        <w:footnoteReference w:id="20"/>
      </w:r>
      <w:r>
        <w:rPr>
          <w:color w:val="000000"/>
        </w:rPr>
        <w:t xml:space="preserve"> </w:t>
      </w:r>
      <w:r w:rsidR="00C364FF">
        <w:rPr>
          <w:color w:val="000000"/>
        </w:rPr>
        <w:t xml:space="preserve"> </w:t>
      </w:r>
      <w:r>
        <w:rPr>
          <w:color w:val="000000"/>
        </w:rPr>
        <w:t>The Shareholder Release was unchanged</w:t>
      </w:r>
      <w:r w:rsidR="006A227C">
        <w:rPr>
          <w:color w:val="000000"/>
        </w:rPr>
        <w:t xml:space="preserve">.  </w:t>
      </w:r>
    </w:p>
    <w:p w14:paraId="17DCC50C" w14:textId="06829BC6" w:rsidR="00A77BBD" w:rsidRDefault="00A77BBD" w:rsidP="00A77BBD">
      <w:pPr>
        <w:pStyle w:val="BodyTextFirstIndent"/>
      </w:pPr>
      <w:r>
        <w:rPr>
          <w:color w:val="000000"/>
        </w:rPr>
        <w:t>On July 7</w:t>
      </w:r>
      <w:r w:rsidR="008B54D4">
        <w:rPr>
          <w:color w:val="000000"/>
        </w:rPr>
        <w:t>,</w:t>
      </w:r>
      <w:r>
        <w:rPr>
          <w:color w:val="000000"/>
        </w:rPr>
        <w:t xml:space="preserve"> 2021</w:t>
      </w:r>
      <w:r w:rsidR="008B54D4">
        <w:rPr>
          <w:color w:val="000000"/>
        </w:rPr>
        <w:t>,</w:t>
      </w:r>
      <w:r>
        <w:rPr>
          <w:color w:val="000000"/>
        </w:rPr>
        <w:t xml:space="preserve"> </w:t>
      </w:r>
      <w:r w:rsidR="006239B5">
        <w:rPr>
          <w:color w:val="000000"/>
        </w:rPr>
        <w:t>Oxy</w:t>
      </w:r>
      <w:r>
        <w:rPr>
          <w:color w:val="000000"/>
        </w:rPr>
        <w:t xml:space="preserve"> filed the mediator</w:t>
      </w:r>
      <w:r w:rsidR="008B54D4">
        <w:rPr>
          <w:color w:val="000000"/>
        </w:rPr>
        <w:t>’</w:t>
      </w:r>
      <w:r>
        <w:rPr>
          <w:color w:val="000000"/>
        </w:rPr>
        <w:t>s report in the bankruptcy proceeding</w:t>
      </w:r>
      <w:r w:rsidR="008B54D4">
        <w:rPr>
          <w:color w:val="000000"/>
        </w:rPr>
        <w:t>,</w:t>
      </w:r>
      <w:r>
        <w:rPr>
          <w:color w:val="000000"/>
        </w:rPr>
        <w:t xml:space="preserve"> informing Judge </w:t>
      </w:r>
      <w:r w:rsidR="00E82FD6">
        <w:rPr>
          <w:color w:val="000000"/>
        </w:rPr>
        <w:t>Wains</w:t>
      </w:r>
      <w:r>
        <w:rPr>
          <w:color w:val="000000"/>
        </w:rPr>
        <w:t xml:space="preserve"> of the result of the mediation.</w:t>
      </w:r>
    </w:p>
    <w:p w14:paraId="0B802A50" w14:textId="0E30C873" w:rsidR="00A77BBD" w:rsidRDefault="00A77BBD" w:rsidP="001B4668">
      <w:pPr>
        <w:pStyle w:val="Heading2"/>
      </w:pPr>
      <w:r>
        <w:t xml:space="preserve">Confirmation of the Plan:  Summary of the Order on </w:t>
      </w:r>
      <w:r w:rsidR="00E83A0F">
        <w:t>Appeal</w:t>
      </w:r>
    </w:p>
    <w:p w14:paraId="4EE40771" w14:textId="0FFA769F" w:rsidR="00A77BBD" w:rsidRDefault="006239B5" w:rsidP="00A77BBD">
      <w:pPr>
        <w:pStyle w:val="BodyTextFirstIndent"/>
      </w:pPr>
      <w:r>
        <w:rPr>
          <w:color w:val="000000"/>
        </w:rPr>
        <w:t>Oxy</w:t>
      </w:r>
      <w:r w:rsidR="00A77BBD">
        <w:rPr>
          <w:color w:val="000000"/>
        </w:rPr>
        <w:t xml:space="preserve"> filed the first version of the Plan on March 15</w:t>
      </w:r>
      <w:r w:rsidR="008B54D4">
        <w:rPr>
          <w:color w:val="000000"/>
        </w:rPr>
        <w:t>,</w:t>
      </w:r>
      <w:r w:rsidR="00A77BBD">
        <w:rPr>
          <w:color w:val="000000"/>
        </w:rPr>
        <w:t xml:space="preserve"> 2021</w:t>
      </w:r>
      <w:r w:rsidR="006A227C">
        <w:rPr>
          <w:color w:val="000000"/>
        </w:rPr>
        <w:t xml:space="preserve">.  </w:t>
      </w:r>
      <w:r w:rsidR="00A77BBD">
        <w:rPr>
          <w:color w:val="000000"/>
        </w:rPr>
        <w:t>It has subsequently filed twelve amendments to the Plan</w:t>
      </w:r>
      <w:r w:rsidR="008B54D4">
        <w:rPr>
          <w:color w:val="000000"/>
        </w:rPr>
        <w:t>,</w:t>
      </w:r>
      <w:r w:rsidR="00A77BBD">
        <w:rPr>
          <w:color w:val="000000"/>
        </w:rPr>
        <w:t xml:space="preserve"> the last of which was dictated by Judge </w:t>
      </w:r>
      <w:r w:rsidR="00E82FD6">
        <w:rPr>
          <w:color w:val="000000"/>
        </w:rPr>
        <w:t>Wains</w:t>
      </w:r>
      <w:r w:rsidR="00A77BBD">
        <w:rPr>
          <w:color w:val="000000"/>
        </w:rPr>
        <w:t xml:space="preserve"> as a condition of confirmation</w:t>
      </w:r>
      <w:r w:rsidR="006A227C">
        <w:rPr>
          <w:color w:val="000000"/>
        </w:rPr>
        <w:t xml:space="preserve">.  </w:t>
      </w:r>
    </w:p>
    <w:p w14:paraId="1CFE65BA" w14:textId="65D2BCAB" w:rsidR="00A77BBD" w:rsidRDefault="00A77BBD" w:rsidP="00A77BBD">
      <w:pPr>
        <w:pStyle w:val="BodyTextFirstIndent"/>
      </w:pPr>
      <w:r>
        <w:rPr>
          <w:color w:val="000000"/>
        </w:rPr>
        <w:t>On August 9</w:t>
      </w:r>
      <w:r w:rsidR="008B54D4">
        <w:rPr>
          <w:color w:val="000000"/>
        </w:rPr>
        <w:t>,</w:t>
      </w:r>
      <w:r>
        <w:rPr>
          <w:color w:val="000000"/>
        </w:rPr>
        <w:t xml:space="preserve"> 2021</w:t>
      </w:r>
      <w:r w:rsidR="008B54D4">
        <w:rPr>
          <w:color w:val="000000"/>
        </w:rPr>
        <w:t>,</w:t>
      </w:r>
      <w:r>
        <w:rPr>
          <w:color w:val="000000"/>
        </w:rPr>
        <w:t xml:space="preserve"> the Confirmation Hearing began before the Bankruptcy Court</w:t>
      </w:r>
      <w:r w:rsidR="008B54D4">
        <w:rPr>
          <w:color w:val="000000"/>
        </w:rPr>
        <w:t>,</w:t>
      </w:r>
      <w:r>
        <w:rPr>
          <w:color w:val="000000"/>
        </w:rPr>
        <w:t xml:space="preserve"> a six-day event during which 41 witnesses testified (by declaration or otherwise)</w:t>
      </w:r>
      <w:r w:rsidR="008B54D4">
        <w:rPr>
          <w:color w:val="000000"/>
        </w:rPr>
        <w:t>,</w:t>
      </w:r>
      <w:r>
        <w:rPr>
          <w:color w:val="000000"/>
        </w:rPr>
        <w:t xml:space="preserve"> after which the parties engaged in extensive oral argument</w:t>
      </w:r>
      <w:r w:rsidR="006A227C">
        <w:rPr>
          <w:color w:val="000000"/>
        </w:rPr>
        <w:t xml:space="preserve">.  </w:t>
      </w:r>
    </w:p>
    <w:p w14:paraId="669144B8" w14:textId="2026BCB0" w:rsidR="00A77BBD" w:rsidRDefault="00A77BBD" w:rsidP="00A77BBD">
      <w:pPr>
        <w:pStyle w:val="BodyTextFirstIndent"/>
      </w:pPr>
      <w:r>
        <w:rPr>
          <w:color w:val="000000"/>
        </w:rPr>
        <w:t>On September 1</w:t>
      </w:r>
      <w:r w:rsidR="008B54D4">
        <w:rPr>
          <w:color w:val="000000"/>
        </w:rPr>
        <w:t>,</w:t>
      </w:r>
      <w:r>
        <w:rPr>
          <w:color w:val="000000"/>
        </w:rPr>
        <w:t xml:space="preserve"> 2021</w:t>
      </w:r>
      <w:r w:rsidR="008B54D4">
        <w:rPr>
          <w:color w:val="000000"/>
        </w:rPr>
        <w:t>,</w:t>
      </w:r>
      <w:r>
        <w:rPr>
          <w:color w:val="000000"/>
        </w:rPr>
        <w:t xml:space="preserve"> the Bankruptcy Court rendered an oral ruling</w:t>
      </w:r>
      <w:r w:rsidR="008B54D4">
        <w:rPr>
          <w:color w:val="000000"/>
        </w:rPr>
        <w:t>,</w:t>
      </w:r>
      <w:r>
        <w:rPr>
          <w:color w:val="000000"/>
        </w:rPr>
        <w:t xml:space="preserve"> stating it would confirm the proposed plan provided certain changes were made to it</w:t>
      </w:r>
      <w:r w:rsidR="008B54D4">
        <w:rPr>
          <w:color w:val="000000"/>
        </w:rPr>
        <w:t>,</w:t>
      </w:r>
      <w:r>
        <w:rPr>
          <w:color w:val="000000"/>
        </w:rPr>
        <w:t xml:space="preserve"> the most relevant of which for purposes of this appeal was a modification of the Section 10.7 Shareholder Release:</w:t>
      </w:r>
    </w:p>
    <w:p w14:paraId="6E0630DD" w14:textId="77F65C2E" w:rsidR="00A77BBD" w:rsidRDefault="00A77BBD" w:rsidP="001B4668">
      <w:pPr>
        <w:pStyle w:val="BlockText"/>
      </w:pPr>
      <w:r>
        <w:t xml:space="preserve">I </w:t>
      </w:r>
      <w:r w:rsidR="00110F91">
        <w:t xml:space="preserve">. . . </w:t>
      </w:r>
      <w:r>
        <w:t>require that the shareholder releases in paragraph 10.7(b) [the release of third- party claims against the shareholder released parties]</w:t>
      </w:r>
      <w:r w:rsidR="008B54D4">
        <w:t>,</w:t>
      </w:r>
      <w:r>
        <w:t xml:space="preserve"> by the releasing parties</w:t>
      </w:r>
      <w:r w:rsidR="008B54D4">
        <w:t>,</w:t>
      </w:r>
      <w:r>
        <w:t xml:space="preserve"> be further qualified than they now are</w:t>
      </w:r>
      <w:r w:rsidR="006A227C">
        <w:t xml:space="preserve">.  </w:t>
      </w:r>
      <w:r>
        <w:t xml:space="preserve">To apply [only] where </w:t>
      </w:r>
      <w:r w:rsidR="00110F91">
        <w:t xml:space="preserve">. . . </w:t>
      </w:r>
      <w:r>
        <w:t>a debtor</w:t>
      </w:r>
      <w:r w:rsidR="008B54D4">
        <w:t>’</w:t>
      </w:r>
      <w:r>
        <w:t>s conduct or the claims asserted against it [are] a legal cause or a legally relevant factor to the cause of action against the shareholder released party.</w:t>
      </w:r>
    </w:p>
    <w:p w14:paraId="7E8D8F4F" w14:textId="274E376B" w:rsidR="00A77BBD" w:rsidRDefault="006239B5" w:rsidP="001B4668">
      <w:pPr>
        <w:pStyle w:val="BodyTextFirstIndent"/>
        <w:ind w:firstLine="0"/>
      </w:pPr>
      <w:r>
        <w:rPr>
          <w:color w:val="000000"/>
        </w:rPr>
        <w:t>Oxy</w:t>
      </w:r>
      <w:r w:rsidR="00A77BBD">
        <w:rPr>
          <w:color w:val="000000"/>
        </w:rPr>
        <w:t xml:space="preserve"> filed the final version of the Plan the next day</w:t>
      </w:r>
      <w:r w:rsidR="00405495">
        <w:rPr>
          <w:color w:val="000000"/>
        </w:rPr>
        <w:t xml:space="preserve">, </w:t>
      </w:r>
      <w:r w:rsidR="00A77BBD">
        <w:rPr>
          <w:color w:val="000000"/>
        </w:rPr>
        <w:t>and on September 17</w:t>
      </w:r>
      <w:r w:rsidR="008B54D4">
        <w:rPr>
          <w:color w:val="000000"/>
        </w:rPr>
        <w:t>,</w:t>
      </w:r>
      <w:r w:rsidR="00A77BBD">
        <w:rPr>
          <w:color w:val="000000"/>
        </w:rPr>
        <w:t xml:space="preserve"> 2021</w:t>
      </w:r>
      <w:r w:rsidR="008B54D4">
        <w:rPr>
          <w:color w:val="000000"/>
        </w:rPr>
        <w:t>,</w:t>
      </w:r>
      <w:r w:rsidR="00A77BBD">
        <w:rPr>
          <w:color w:val="000000"/>
        </w:rPr>
        <w:t xml:space="preserve"> Judge </w:t>
      </w:r>
      <w:r w:rsidR="00E82FD6">
        <w:rPr>
          <w:color w:val="000000"/>
        </w:rPr>
        <w:t>Wains</w:t>
      </w:r>
      <w:r w:rsidR="00A77BBD">
        <w:rPr>
          <w:color w:val="000000"/>
        </w:rPr>
        <w:t xml:space="preserve"> issued his edited written decision confirming the Plan.</w:t>
      </w:r>
    </w:p>
    <w:p w14:paraId="17BFC1D0" w14:textId="77777777" w:rsidR="00A77BBD" w:rsidRDefault="00A77BBD" w:rsidP="00A77BBD">
      <w:pPr>
        <w:pStyle w:val="BodyTextFirstIndent"/>
      </w:pPr>
      <w:r>
        <w:rPr>
          <w:color w:val="000000"/>
        </w:rPr>
        <w:t>The salient features of the Plan are as follows:</w:t>
      </w:r>
    </w:p>
    <w:p w14:paraId="327B02A2" w14:textId="439E45C8" w:rsidR="00A77BBD" w:rsidRDefault="00A77BBD" w:rsidP="00A77BBD">
      <w:pPr>
        <w:pStyle w:val="BodyTextFirstIndent"/>
      </w:pPr>
      <w:r>
        <w:rPr>
          <w:color w:val="000000"/>
          <w:u w:val="single"/>
        </w:rPr>
        <w:t>Trusts to Administer Abatement and Distribution</w:t>
      </w:r>
      <w:r w:rsidR="006A227C">
        <w:rPr>
          <w:color w:val="000000"/>
        </w:rPr>
        <w:t xml:space="preserve">.  </w:t>
      </w:r>
      <w:r>
        <w:rPr>
          <w:color w:val="000000"/>
        </w:rPr>
        <w:t>Under the Plan</w:t>
      </w:r>
      <w:r w:rsidR="008B54D4">
        <w:rPr>
          <w:color w:val="000000"/>
        </w:rPr>
        <w:t>,</w:t>
      </w:r>
      <w:r>
        <w:rPr>
          <w:color w:val="000000"/>
        </w:rPr>
        <w:t xml:space="preserve"> the majority of </w:t>
      </w:r>
      <w:r w:rsidR="006239B5">
        <w:rPr>
          <w:color w:val="000000"/>
        </w:rPr>
        <w:t>Oxy</w:t>
      </w:r>
      <w:r w:rsidR="008B54D4">
        <w:rPr>
          <w:color w:val="000000"/>
        </w:rPr>
        <w:t>’</w:t>
      </w:r>
      <w:r>
        <w:rPr>
          <w:color w:val="000000"/>
        </w:rPr>
        <w:t>s current value will be distributed among nine “creditor trusts” that will fund opioid abatement efforts and compensate personal injury claimants</w:t>
      </w:r>
      <w:r w:rsidR="008B54D4">
        <w:rPr>
          <w:color w:val="000000"/>
        </w:rPr>
        <w:t>,</w:t>
      </w:r>
      <w:r>
        <w:rPr>
          <w:color w:val="000000"/>
        </w:rPr>
        <w:t xml:space="preserve"> including the National Opioid Abatement Trust (“NOAT”)</w:t>
      </w:r>
      <w:r w:rsidR="008B54D4">
        <w:rPr>
          <w:color w:val="000000"/>
        </w:rPr>
        <w:t>,</w:t>
      </w:r>
      <w:r>
        <w:rPr>
          <w:color w:val="000000"/>
        </w:rPr>
        <w:t xml:space="preserve"> which will make distributions to qualified governmental entities</w:t>
      </w:r>
      <w:r w:rsidR="00405495">
        <w:rPr>
          <w:color w:val="000000"/>
        </w:rPr>
        <w:t xml:space="preserve">. </w:t>
      </w:r>
      <w:r>
        <w:rPr>
          <w:color w:val="000000"/>
        </w:rPr>
        <w:t>Most of the creditor trusts are abatement trusts and may only make distributions for the purpose of opioid abatement or to pay attorneys</w:t>
      </w:r>
      <w:r w:rsidR="008B54D4">
        <w:rPr>
          <w:color w:val="000000"/>
        </w:rPr>
        <w:t>’</w:t>
      </w:r>
      <w:r>
        <w:rPr>
          <w:color w:val="000000"/>
        </w:rPr>
        <w:t xml:space="preserve"> fees and associated costs</w:t>
      </w:r>
      <w:r w:rsidR="006A227C">
        <w:rPr>
          <w:color w:val="000000"/>
        </w:rPr>
        <w:t xml:space="preserve">.  </w:t>
      </w:r>
      <w:r>
        <w:rPr>
          <w:color w:val="000000"/>
        </w:rPr>
        <w:t>Two trusts - the “PI Trust” and “PI Futures Trust” - are the only exceptions:  those creditor trusts will make distributions to qualifying personal injury claimants</w:t>
      </w:r>
      <w:r w:rsidR="006A227C">
        <w:rPr>
          <w:color w:val="000000"/>
        </w:rPr>
        <w:t xml:space="preserve">.  </w:t>
      </w:r>
    </w:p>
    <w:p w14:paraId="3420D1ED" w14:textId="671A3EF2" w:rsidR="00A77BBD" w:rsidRDefault="00A77BBD" w:rsidP="00A77BBD">
      <w:pPr>
        <w:pStyle w:val="BodyTextFirstIndent"/>
      </w:pPr>
      <w:r>
        <w:rPr>
          <w:color w:val="000000"/>
          <w:u w:val="single"/>
        </w:rPr>
        <w:t>The Public Document Repository</w:t>
      </w:r>
      <w:r w:rsidR="006A227C">
        <w:rPr>
          <w:color w:val="000000"/>
        </w:rPr>
        <w:t xml:space="preserve">.  </w:t>
      </w:r>
      <w:r>
        <w:rPr>
          <w:color w:val="000000"/>
        </w:rPr>
        <w:t xml:space="preserve">Under the Plan the Debtors are required to create a public document repository of </w:t>
      </w:r>
      <w:r w:rsidR="006239B5">
        <w:rPr>
          <w:color w:val="000000"/>
        </w:rPr>
        <w:t>Oxy</w:t>
      </w:r>
      <w:r>
        <w:rPr>
          <w:color w:val="000000"/>
        </w:rPr>
        <w:t xml:space="preserve"> material available for public review</w:t>
      </w:r>
      <w:r w:rsidR="006A227C">
        <w:rPr>
          <w:color w:val="000000"/>
        </w:rPr>
        <w:t xml:space="preserve">.  </w:t>
      </w:r>
      <w:r>
        <w:rPr>
          <w:color w:val="000000"/>
        </w:rPr>
        <w:t>The AHC testified at the Confirmation Hearing that the establishment of this public document repository was among their highest priorities</w:t>
      </w:r>
      <w:r w:rsidR="006A227C">
        <w:rPr>
          <w:color w:val="000000"/>
        </w:rPr>
        <w:t xml:space="preserve">.  </w:t>
      </w:r>
      <w:r>
        <w:rPr>
          <w:color w:val="000000"/>
        </w:rPr>
        <w:t xml:space="preserve"> (“[O]f all the aspects of </w:t>
      </w:r>
      <w:r w:rsidR="00110F91">
        <w:rPr>
          <w:color w:val="000000"/>
        </w:rPr>
        <w:t xml:space="preserve">. . . </w:t>
      </w:r>
      <w:r>
        <w:rPr>
          <w:color w:val="000000"/>
        </w:rPr>
        <w:t>the injunctive relief part of [the Plan]</w:t>
      </w:r>
      <w:r w:rsidR="008B54D4">
        <w:rPr>
          <w:color w:val="000000"/>
        </w:rPr>
        <w:t>,</w:t>
      </w:r>
      <w:r>
        <w:rPr>
          <w:color w:val="000000"/>
        </w:rPr>
        <w:t xml:space="preserve"> [the public document repository] </w:t>
      </w:r>
      <w:r w:rsidR="00110F91">
        <w:rPr>
          <w:color w:val="000000"/>
        </w:rPr>
        <w:t xml:space="preserve">. . . </w:t>
      </w:r>
      <w:r>
        <w:rPr>
          <w:color w:val="000000"/>
        </w:rPr>
        <w:t>is extremely important from the standpoint of</w:t>
      </w:r>
      <w:r w:rsidR="008B54D4">
        <w:rPr>
          <w:color w:val="000000"/>
        </w:rPr>
        <w:t>,</w:t>
      </w:r>
      <w:r>
        <w:rPr>
          <w:color w:val="000000"/>
        </w:rPr>
        <w:t xml:space="preserve"> not only what it is that we developed in terms of evidence</w:t>
      </w:r>
      <w:r w:rsidR="008B54D4">
        <w:rPr>
          <w:color w:val="000000"/>
        </w:rPr>
        <w:t>,</w:t>
      </w:r>
      <w:r>
        <w:rPr>
          <w:color w:val="000000"/>
        </w:rPr>
        <w:t xml:space="preserve"> [but also] lessons to be learned from the conduct that was uncovered and revealed.”)</w:t>
      </w:r>
      <w:r w:rsidR="00405495">
        <w:rPr>
          <w:color w:val="000000"/>
        </w:rPr>
        <w:t>.</w:t>
      </w:r>
      <w:r w:rsidR="006A227C">
        <w:rPr>
          <w:color w:val="000000"/>
        </w:rPr>
        <w:t xml:space="preserve">  </w:t>
      </w:r>
      <w:r>
        <w:rPr>
          <w:color w:val="000000"/>
        </w:rPr>
        <w:t>The public document repository will be hosted by an academic institution or library and will include more than 13</w:t>
      </w:r>
      <w:r w:rsidR="008B54D4">
        <w:rPr>
          <w:color w:val="000000"/>
        </w:rPr>
        <w:t>,</w:t>
      </w:r>
      <w:r>
        <w:rPr>
          <w:color w:val="000000"/>
        </w:rPr>
        <w:t>000</w:t>
      </w:r>
      <w:r w:rsidR="008B54D4">
        <w:rPr>
          <w:color w:val="000000"/>
        </w:rPr>
        <w:t>,</w:t>
      </w:r>
      <w:r>
        <w:rPr>
          <w:color w:val="000000"/>
        </w:rPr>
        <w:t>000 documents (consisting of more than 100</w:t>
      </w:r>
      <w:r w:rsidR="008B54D4">
        <w:rPr>
          <w:color w:val="000000"/>
        </w:rPr>
        <w:t>,</w:t>
      </w:r>
      <w:r>
        <w:rPr>
          <w:color w:val="000000"/>
        </w:rPr>
        <w:t>000</w:t>
      </w:r>
      <w:r w:rsidR="008B54D4">
        <w:rPr>
          <w:color w:val="000000"/>
        </w:rPr>
        <w:t>,</w:t>
      </w:r>
      <w:r>
        <w:rPr>
          <w:color w:val="000000"/>
        </w:rPr>
        <w:t>000 pages) produced in the chapter 11 case and tens of millions of additional documents</w:t>
      </w:r>
      <w:r w:rsidR="008B54D4">
        <w:rPr>
          <w:color w:val="000000"/>
        </w:rPr>
        <w:t>,</w:t>
      </w:r>
      <w:r>
        <w:rPr>
          <w:color w:val="000000"/>
        </w:rPr>
        <w:t xml:space="preserve"> including certain documents currently subject to the attorney client privilege that would not have been produced in litigation</w:t>
      </w:r>
      <w:r w:rsidR="006A227C">
        <w:rPr>
          <w:color w:val="000000"/>
        </w:rPr>
        <w:t xml:space="preserve">.  </w:t>
      </w:r>
      <w:r>
        <w:rPr>
          <w:color w:val="000000"/>
        </w:rPr>
        <w:t>The Plan ensures that scholars and the public can have access to all of these materials.</w:t>
      </w:r>
    </w:p>
    <w:p w14:paraId="3DF589A4" w14:textId="52810DED" w:rsidR="00A77BBD" w:rsidRDefault="006239B5" w:rsidP="00A77BBD">
      <w:pPr>
        <w:pStyle w:val="BodyTextFirstIndent"/>
      </w:pPr>
      <w:r>
        <w:rPr>
          <w:color w:val="000000"/>
          <w:u w:val="single"/>
        </w:rPr>
        <w:t>Oxy</w:t>
      </w:r>
      <w:r w:rsidR="00A77BBD">
        <w:rPr>
          <w:color w:val="000000"/>
          <w:u w:val="single"/>
        </w:rPr>
        <w:t xml:space="preserve"> Pharma Will Cease to Exist</w:t>
      </w:r>
      <w:r w:rsidR="006A227C">
        <w:rPr>
          <w:color w:val="000000"/>
        </w:rPr>
        <w:t xml:space="preserve">.  </w:t>
      </w:r>
      <w:r w:rsidR="00A77BBD">
        <w:rPr>
          <w:color w:val="000000"/>
        </w:rPr>
        <w:t>Under the Plan</w:t>
      </w:r>
      <w:r w:rsidR="008B54D4">
        <w:rPr>
          <w:color w:val="000000"/>
        </w:rPr>
        <w:t>,</w:t>
      </w:r>
      <w:r w:rsidR="00A77BBD">
        <w:rPr>
          <w:color w:val="000000"/>
        </w:rPr>
        <w:t xml:space="preserve"> </w:t>
      </w:r>
      <w:r>
        <w:rPr>
          <w:color w:val="000000"/>
        </w:rPr>
        <w:t>Oxy</w:t>
      </w:r>
      <w:r w:rsidR="00A77BBD">
        <w:rPr>
          <w:color w:val="000000"/>
        </w:rPr>
        <w:t xml:space="preserve"> Pharma will cease to exist</w:t>
      </w:r>
      <w:r w:rsidR="006A227C">
        <w:rPr>
          <w:color w:val="000000"/>
        </w:rPr>
        <w:t xml:space="preserve">.  </w:t>
      </w:r>
      <w:r w:rsidR="00A77BBD">
        <w:rPr>
          <w:color w:val="000000"/>
        </w:rPr>
        <w:t>Its current business operating assets will be transferred to and operated by a new entity</w:t>
      </w:r>
      <w:r w:rsidR="008B54D4">
        <w:rPr>
          <w:color w:val="000000"/>
        </w:rPr>
        <w:t>,</w:t>
      </w:r>
      <w:r w:rsidR="00A77BBD">
        <w:rPr>
          <w:color w:val="000000"/>
        </w:rPr>
        <w:t xml:space="preserve"> known as “NewCo” in the Plan</w:t>
      </w:r>
      <w:r w:rsidR="008B54D4">
        <w:rPr>
          <w:color w:val="000000"/>
        </w:rPr>
        <w:t>,</w:t>
      </w:r>
      <w:r w:rsidR="00A77BBD">
        <w:rPr>
          <w:color w:val="000000"/>
        </w:rPr>
        <w:t xml:space="preserve"> but to be named KNOA</w:t>
      </w:r>
      <w:r w:rsidR="006A227C">
        <w:rPr>
          <w:color w:val="000000"/>
        </w:rPr>
        <w:t xml:space="preserve">.  </w:t>
      </w:r>
      <w:r w:rsidR="00A77BBD">
        <w:rPr>
          <w:color w:val="000000"/>
        </w:rPr>
        <w:t>NewCo will be governed by a board of five or seven disinterested and independent managers initially selected by the AHC and the MSGE</w:t>
      </w:r>
      <w:r w:rsidR="008B54D4">
        <w:rPr>
          <w:color w:val="000000"/>
        </w:rPr>
        <w:t>,</w:t>
      </w:r>
      <w:r w:rsidR="00A77BBD">
        <w:rPr>
          <w:color w:val="000000"/>
        </w:rPr>
        <w:t xml:space="preserve"> in consultation with the Debtors and UCC</w:t>
      </w:r>
      <w:r w:rsidR="008B54D4">
        <w:rPr>
          <w:color w:val="000000"/>
        </w:rPr>
        <w:t>,</w:t>
      </w:r>
      <w:r w:rsidR="00A77BBD">
        <w:rPr>
          <w:color w:val="000000"/>
        </w:rPr>
        <w:t xml:space="preserve"> subject to a right of observation by the DOJ</w:t>
      </w:r>
      <w:r w:rsidR="006A227C">
        <w:rPr>
          <w:color w:val="000000"/>
        </w:rPr>
        <w:t xml:space="preserve">.  </w:t>
      </w:r>
      <w:r w:rsidR="00A77BBD">
        <w:rPr>
          <w:color w:val="000000"/>
        </w:rPr>
        <w:t>NewCo will manufacture products</w:t>
      </w:r>
      <w:r w:rsidR="008B54D4">
        <w:rPr>
          <w:color w:val="000000"/>
        </w:rPr>
        <w:t>,</w:t>
      </w:r>
      <w:r w:rsidR="00A77BBD">
        <w:rPr>
          <w:color w:val="000000"/>
        </w:rPr>
        <w:t xml:space="preserve"> including Betadine</w:t>
      </w:r>
      <w:r w:rsidR="008B54D4">
        <w:rPr>
          <w:color w:val="000000"/>
        </w:rPr>
        <w:t>,</w:t>
      </w:r>
      <w:r w:rsidR="00A77BBD">
        <w:rPr>
          <w:color w:val="000000"/>
        </w:rPr>
        <w:t xml:space="preserve"> Denokot</w:t>
      </w:r>
      <w:r w:rsidR="008B54D4">
        <w:rPr>
          <w:color w:val="000000"/>
        </w:rPr>
        <w:t>,</w:t>
      </w:r>
      <w:r w:rsidR="00A77BBD">
        <w:rPr>
          <w:color w:val="000000"/>
        </w:rPr>
        <w:t xml:space="preserve"> Colace</w:t>
      </w:r>
      <w:r w:rsidR="008B54D4">
        <w:rPr>
          <w:color w:val="000000"/>
        </w:rPr>
        <w:t>,</w:t>
      </w:r>
      <w:r w:rsidR="00A77BBD">
        <w:rPr>
          <w:color w:val="000000"/>
        </w:rPr>
        <w:t xml:space="preserve"> magnesium products</w:t>
      </w:r>
      <w:r w:rsidR="008B54D4">
        <w:rPr>
          <w:color w:val="000000"/>
        </w:rPr>
        <w:t>,</w:t>
      </w:r>
      <w:r w:rsidR="00A77BBD">
        <w:rPr>
          <w:color w:val="000000"/>
        </w:rPr>
        <w:t xml:space="preserve"> opioids and opioid-abatement medications</w:t>
      </w:r>
      <w:r w:rsidR="008B54D4">
        <w:rPr>
          <w:color w:val="000000"/>
        </w:rPr>
        <w:t>,</w:t>
      </w:r>
      <w:r w:rsidR="00A77BBD">
        <w:rPr>
          <w:color w:val="000000"/>
        </w:rPr>
        <w:t xml:space="preserve"> and oncology therapies</w:t>
      </w:r>
      <w:r w:rsidR="006A227C">
        <w:rPr>
          <w:color w:val="000000"/>
        </w:rPr>
        <w:t xml:space="preserve">.  </w:t>
      </w:r>
      <w:r w:rsidR="00A77BBD">
        <w:rPr>
          <w:color w:val="000000"/>
        </w:rPr>
        <w:t>Additionally</w:t>
      </w:r>
      <w:r w:rsidR="008B54D4">
        <w:rPr>
          <w:color w:val="000000"/>
        </w:rPr>
        <w:t>,</w:t>
      </w:r>
      <w:r w:rsidR="00A77BBD">
        <w:rPr>
          <w:color w:val="000000"/>
        </w:rPr>
        <w:t xml:space="preserve"> NewCo will </w:t>
      </w:r>
      <w:r w:rsidR="00665A76">
        <w:rPr>
          <w:color w:val="000000"/>
        </w:rPr>
        <w:t>co</w:t>
      </w:r>
      <w:r w:rsidR="003B7D4B">
        <w:rPr>
          <w:color w:val="000000"/>
        </w:rPr>
        <w:t>ntin</w:t>
      </w:r>
      <w:r w:rsidR="00A77BBD">
        <w:rPr>
          <w:color w:val="000000"/>
        </w:rPr>
        <w:t>ue the Debtors</w:t>
      </w:r>
      <w:r w:rsidR="008B54D4">
        <w:rPr>
          <w:color w:val="000000"/>
        </w:rPr>
        <w:t>’</w:t>
      </w:r>
      <w:r w:rsidR="00A77BBD">
        <w:rPr>
          <w:color w:val="000000"/>
        </w:rPr>
        <w:t xml:space="preserve"> development of opioid overdose reversal and addiction treatment medications</w:t>
      </w:r>
      <w:r w:rsidR="008B54D4">
        <w:rPr>
          <w:color w:val="000000"/>
        </w:rPr>
        <w:t>,</w:t>
      </w:r>
      <w:r w:rsidR="00A77BBD">
        <w:rPr>
          <w:color w:val="000000"/>
        </w:rPr>
        <w:t xml:space="preserve"> and it must deliver millions of doses of those medications at low or no cost when development is complete (these will be distributed to groups or entities to be determined post-emergence)</w:t>
      </w:r>
      <w:r w:rsidR="006A227C">
        <w:rPr>
          <w:color w:val="000000"/>
        </w:rPr>
        <w:t xml:space="preserve">.  </w:t>
      </w:r>
      <w:r w:rsidR="00A77BBD">
        <w:rPr>
          <w:color w:val="000000"/>
        </w:rPr>
        <w:t>NewCo will be subject to an “Operating Injunction” that prohibits it from</w:t>
      </w:r>
      <w:r w:rsidR="008B54D4">
        <w:rPr>
          <w:color w:val="000000"/>
        </w:rPr>
        <w:t>,</w:t>
      </w:r>
      <w:r w:rsidR="00A77BBD">
        <w:rPr>
          <w:color w:val="000000"/>
        </w:rPr>
        <w:t xml:space="preserve"> among other things</w:t>
      </w:r>
      <w:r w:rsidR="008B54D4">
        <w:rPr>
          <w:color w:val="000000"/>
        </w:rPr>
        <w:t>,</w:t>
      </w:r>
      <w:r w:rsidR="00A77BBD">
        <w:rPr>
          <w:color w:val="000000"/>
        </w:rPr>
        <w:t xml:space="preserve"> promoting opioid products and providing financial incentives to its sales and marketing employees that are “directly” (but not indirectly) based on sales volumes or sales quotas for opioid products</w:t>
      </w:r>
      <w:r w:rsidR="006A227C">
        <w:rPr>
          <w:color w:val="000000"/>
        </w:rPr>
        <w:t xml:space="preserve">.  </w:t>
      </w:r>
      <w:r w:rsidR="00A77BBD">
        <w:rPr>
          <w:color w:val="000000"/>
        </w:rPr>
        <w:t>It also is subject to “Governance Covenants” that ensure that NewCo provides all its products in a “safe manner</w:t>
      </w:r>
      <w:r w:rsidR="008B54D4">
        <w:rPr>
          <w:color w:val="000000"/>
        </w:rPr>
        <w:t>,</w:t>
      </w:r>
      <w:r w:rsidR="00A77BBD">
        <w:rPr>
          <w:color w:val="000000"/>
        </w:rPr>
        <w:t>” complies with settlement obligations</w:t>
      </w:r>
      <w:r w:rsidR="008B54D4">
        <w:rPr>
          <w:color w:val="000000"/>
        </w:rPr>
        <w:t>,</w:t>
      </w:r>
      <w:r w:rsidR="00A77BBD">
        <w:rPr>
          <w:color w:val="000000"/>
        </w:rPr>
        <w:t xml:space="preserve"> pursues public health initiatives</w:t>
      </w:r>
      <w:r w:rsidR="008B54D4">
        <w:rPr>
          <w:color w:val="000000"/>
        </w:rPr>
        <w:t>,</w:t>
      </w:r>
      <w:r w:rsidR="00A77BBD">
        <w:rPr>
          <w:color w:val="000000"/>
        </w:rPr>
        <w:t xml:space="preserve"> and follows pharmaceutical best practices</w:t>
      </w:r>
      <w:r w:rsidR="006A227C">
        <w:rPr>
          <w:color w:val="000000"/>
        </w:rPr>
        <w:t xml:space="preserve">.  </w:t>
      </w:r>
      <w:r w:rsidR="00A77BBD">
        <w:rPr>
          <w:color w:val="000000"/>
        </w:rPr>
        <w:t>The Plan provides for the appointment of a monitor to ensure that NewCo complies with the Operating Injunction and Governance Covenants; the monitor will provide the public with regular updates and seek relief from the Bankruptcy Court to the extent necessary to carry out the monitor</w:t>
      </w:r>
      <w:r w:rsidR="008B54D4">
        <w:rPr>
          <w:color w:val="000000"/>
        </w:rPr>
        <w:t>’</w:t>
      </w:r>
      <w:r w:rsidR="00A77BBD">
        <w:rPr>
          <w:color w:val="000000"/>
        </w:rPr>
        <w:t>s obligations</w:t>
      </w:r>
      <w:r w:rsidR="006A227C">
        <w:rPr>
          <w:color w:val="000000"/>
        </w:rPr>
        <w:t xml:space="preserve">.  </w:t>
      </w:r>
      <w:r w:rsidR="00A77BBD">
        <w:rPr>
          <w:color w:val="000000"/>
        </w:rPr>
        <w:t>Above all</w:t>
      </w:r>
      <w:r w:rsidR="008B54D4">
        <w:rPr>
          <w:color w:val="000000"/>
        </w:rPr>
        <w:t>,</w:t>
      </w:r>
      <w:r w:rsidR="00A77BBD">
        <w:rPr>
          <w:color w:val="000000"/>
        </w:rPr>
        <w:t xml:space="preserve"> NewCo is not intended to operate indefinitely:  The Plan instruct the managers to use reasonable best efforts to sell the assets of NewCo by December 21</w:t>
      </w:r>
      <w:r w:rsidR="008B54D4">
        <w:rPr>
          <w:color w:val="000000"/>
        </w:rPr>
        <w:t>,</w:t>
      </w:r>
      <w:r w:rsidR="00A77BBD">
        <w:rPr>
          <w:color w:val="000000"/>
        </w:rPr>
        <w:t xml:space="preserve"> 2024</w:t>
      </w:r>
      <w:r w:rsidR="006A227C">
        <w:rPr>
          <w:color w:val="000000"/>
        </w:rPr>
        <w:t xml:space="preserve">.  </w:t>
      </w:r>
    </w:p>
    <w:p w14:paraId="0FAE2156" w14:textId="72717348" w:rsidR="00A77BBD" w:rsidRDefault="00A77BBD" w:rsidP="00A77BBD">
      <w:pPr>
        <w:pStyle w:val="BodyTextFirstIndent"/>
      </w:pPr>
      <w:r>
        <w:rPr>
          <w:color w:val="000000"/>
          <w:u w:val="single"/>
        </w:rPr>
        <w:t>Shareholder Settlement Agreement</w:t>
      </w:r>
      <w:r w:rsidR="006A227C">
        <w:rPr>
          <w:color w:val="000000"/>
        </w:rPr>
        <w:t xml:space="preserve">.  </w:t>
      </w:r>
      <w:r>
        <w:rPr>
          <w:color w:val="000000"/>
        </w:rPr>
        <w:t>The Plan incorporates the “Shareholder Settlement Agreement” and the transactions contemplated therein whereby</w:t>
      </w:r>
      <w:r w:rsidR="008B54D4">
        <w:rPr>
          <w:color w:val="000000"/>
        </w:rPr>
        <w:t>,</w:t>
      </w:r>
      <w:r>
        <w:rPr>
          <w:color w:val="000000"/>
        </w:rPr>
        <w:t xml:space="preserve"> in exchange for the release of third-party claims against over 1</w:t>
      </w:r>
      <w:r w:rsidR="008B54D4">
        <w:rPr>
          <w:color w:val="000000"/>
        </w:rPr>
        <w:t>,</w:t>
      </w:r>
      <w:r>
        <w:rPr>
          <w:color w:val="000000"/>
        </w:rPr>
        <w:t xml:space="preserve">000 individuals and entities related to the </w:t>
      </w:r>
      <w:r w:rsidR="00E82FD6">
        <w:rPr>
          <w:color w:val="000000"/>
        </w:rPr>
        <w:t>Packler</w:t>
      </w:r>
      <w:r>
        <w:rPr>
          <w:color w:val="000000"/>
        </w:rPr>
        <w:t xml:space="preserve"> family (“Shareholder Released Parties”)</w:t>
      </w:r>
      <w:r w:rsidR="008B54D4">
        <w:rPr>
          <w:color w:val="000000"/>
        </w:rPr>
        <w:t>,</w:t>
      </w:r>
      <w:r>
        <w:rPr>
          <w:color w:val="000000"/>
        </w:rPr>
        <w:t xml:space="preserve"> </w:t>
      </w:r>
      <w:r w:rsidRPr="00665A76">
        <w:rPr>
          <w:color w:val="000000"/>
        </w:rPr>
        <w:t xml:space="preserve">the </w:t>
      </w:r>
      <w:r w:rsidR="00E82FD6" w:rsidRPr="00665A76">
        <w:rPr>
          <w:color w:val="000000"/>
        </w:rPr>
        <w:t>Packler</w:t>
      </w:r>
      <w:r w:rsidRPr="00665A76">
        <w:rPr>
          <w:color w:val="000000"/>
        </w:rPr>
        <w:t xml:space="preserve"> family will give</w:t>
      </w:r>
      <w:r w:rsidR="00665A76">
        <w:rPr>
          <w:color w:val="000000"/>
        </w:rPr>
        <w:t xml:space="preserve"> at least</w:t>
      </w:r>
      <w:r w:rsidRPr="00665A76">
        <w:rPr>
          <w:color w:val="000000"/>
        </w:rPr>
        <w:t xml:space="preserve"> $4.</w:t>
      </w:r>
      <w:r w:rsidR="00665A76">
        <w:rPr>
          <w:color w:val="000000"/>
        </w:rPr>
        <w:t>325</w:t>
      </w:r>
      <w:r w:rsidRPr="00665A76">
        <w:rPr>
          <w:color w:val="000000"/>
        </w:rPr>
        <w:t xml:space="preserve"> billion toward the </w:t>
      </w:r>
      <w:r w:rsidR="006239B5" w:rsidRPr="00665A76">
        <w:rPr>
          <w:color w:val="000000"/>
        </w:rPr>
        <w:t>Oxy</w:t>
      </w:r>
      <w:r w:rsidRPr="00665A76">
        <w:rPr>
          <w:color w:val="000000"/>
        </w:rPr>
        <w:t xml:space="preserve"> estate</w:t>
      </w:r>
      <w:r w:rsidR="006A227C" w:rsidRPr="00665A76">
        <w:rPr>
          <w:color w:val="000000"/>
        </w:rPr>
        <w:t>.</w:t>
      </w:r>
      <w:r w:rsidR="006A227C">
        <w:rPr>
          <w:color w:val="000000"/>
        </w:rPr>
        <w:t xml:space="preserve">  </w:t>
      </w:r>
    </w:p>
    <w:p w14:paraId="2641A208" w14:textId="47795DDF" w:rsidR="00A77BBD" w:rsidRDefault="00A77BBD" w:rsidP="00A77BBD">
      <w:pPr>
        <w:pStyle w:val="BodyTextFirstIndent"/>
      </w:pPr>
      <w:r>
        <w:rPr>
          <w:color w:val="000000"/>
        </w:rPr>
        <w:t xml:space="preserve">Section 10.7(b) of the Plan sets out the terms of the release that the </w:t>
      </w:r>
      <w:r w:rsidR="00E82FD6">
        <w:rPr>
          <w:color w:val="000000"/>
        </w:rPr>
        <w:t>Packler</w:t>
      </w:r>
      <w:r>
        <w:rPr>
          <w:color w:val="000000"/>
        </w:rPr>
        <w:t>s</w:t>
      </w:r>
      <w:r w:rsidR="008B54D4">
        <w:rPr>
          <w:color w:val="000000"/>
        </w:rPr>
        <w:t>,</w:t>
      </w:r>
      <w:r>
        <w:rPr>
          <w:color w:val="000000"/>
        </w:rPr>
        <w:t xml:space="preserve"> from the inception of the bankruptcy and earlier</w:t>
      </w:r>
      <w:r w:rsidR="008B54D4">
        <w:rPr>
          <w:color w:val="000000"/>
        </w:rPr>
        <w:t>,</w:t>
      </w:r>
      <w:r>
        <w:rPr>
          <w:color w:val="000000"/>
        </w:rPr>
        <w:t xml:space="preserve"> insisted on in exchange for contributing funds to </w:t>
      </w:r>
      <w:r w:rsidR="006239B5">
        <w:rPr>
          <w:color w:val="000000"/>
        </w:rPr>
        <w:t>Oxy</w:t>
      </w:r>
      <w:r w:rsidR="008B54D4">
        <w:rPr>
          <w:color w:val="000000"/>
        </w:rPr>
        <w:t>’</w:t>
      </w:r>
      <w:r>
        <w:rPr>
          <w:color w:val="000000"/>
        </w:rPr>
        <w:t>s estate</w:t>
      </w:r>
      <w:r w:rsidR="006A227C">
        <w:rPr>
          <w:color w:val="000000"/>
        </w:rPr>
        <w:t xml:space="preserve">.  </w:t>
      </w:r>
      <w:r>
        <w:rPr>
          <w:color w:val="000000"/>
        </w:rPr>
        <w:t>The Plan “releases and discharges” certain claims that third parties (including states and personal injury claimants) have asserted or might in the future assert against the Shareholder Released Parties</w:t>
      </w:r>
      <w:r w:rsidR="006A227C">
        <w:rPr>
          <w:color w:val="000000"/>
        </w:rPr>
        <w:t xml:space="preserve">.  </w:t>
      </w:r>
      <w:r>
        <w:rPr>
          <w:color w:val="000000"/>
        </w:rPr>
        <w:t xml:space="preserve">The release of claims against the Shareholder Released Parties permanently enjoins third parties from pursuing their current claims against the Shareholder Released Parties and precludes the commencement of future litigation against any of the </w:t>
      </w:r>
      <w:r w:rsidR="00E82FD6">
        <w:rPr>
          <w:color w:val="000000"/>
        </w:rPr>
        <w:t>Packler</w:t>
      </w:r>
      <w:r>
        <w:rPr>
          <w:color w:val="000000"/>
        </w:rPr>
        <w:t>s and their related entities</w:t>
      </w:r>
      <w:r w:rsidR="008B54D4">
        <w:rPr>
          <w:color w:val="000000"/>
        </w:rPr>
        <w:t>,</w:t>
      </w:r>
      <w:r>
        <w:rPr>
          <w:color w:val="000000"/>
        </w:rPr>
        <w:t xml:space="preserve"> as long as</w:t>
      </w:r>
      <w:r w:rsidR="00E83A0F">
        <w:rPr>
          <w:color w:val="000000"/>
        </w:rPr>
        <w:t xml:space="preserve">: </w:t>
      </w:r>
      <w:r>
        <w:rPr>
          <w:color w:val="000000"/>
        </w:rPr>
        <w:t xml:space="preserve"> (</w:t>
      </w:r>
      <w:r w:rsidR="00665A76">
        <w:rPr>
          <w:color w:val="000000"/>
        </w:rPr>
        <w:t>1</w:t>
      </w:r>
      <w:r>
        <w:rPr>
          <w:color w:val="000000"/>
        </w:rPr>
        <w:t>) those claims are “based on or related to the Debtors</w:t>
      </w:r>
      <w:r w:rsidR="008B54D4">
        <w:rPr>
          <w:color w:val="000000"/>
        </w:rPr>
        <w:t>,</w:t>
      </w:r>
      <w:r>
        <w:rPr>
          <w:color w:val="000000"/>
        </w:rPr>
        <w:t xml:space="preserve"> their estates</w:t>
      </w:r>
      <w:r w:rsidR="008B54D4">
        <w:rPr>
          <w:color w:val="000000"/>
        </w:rPr>
        <w:t>,</w:t>
      </w:r>
      <w:r>
        <w:rPr>
          <w:color w:val="000000"/>
        </w:rPr>
        <w:t xml:space="preserve"> or the chapter 11 cases</w:t>
      </w:r>
      <w:r w:rsidR="008B54D4">
        <w:rPr>
          <w:color w:val="000000"/>
        </w:rPr>
        <w:t>,</w:t>
      </w:r>
      <w:r>
        <w:rPr>
          <w:color w:val="000000"/>
        </w:rPr>
        <w:t>” and (</w:t>
      </w:r>
      <w:r w:rsidR="00665A76">
        <w:rPr>
          <w:color w:val="000000"/>
        </w:rPr>
        <w:t>2</w:t>
      </w:r>
      <w:r>
        <w:rPr>
          <w:color w:val="000000"/>
        </w:rPr>
        <w:t>) the “conduct</w:t>
      </w:r>
      <w:r w:rsidR="008B54D4">
        <w:rPr>
          <w:color w:val="000000"/>
        </w:rPr>
        <w:t>,</w:t>
      </w:r>
      <w:r>
        <w:rPr>
          <w:color w:val="000000"/>
        </w:rPr>
        <w:t xml:space="preserve"> omission or liability of any Debtor or any Estate is the legal cause or is otherwise a legally relevant factor</w:t>
      </w:r>
      <w:r w:rsidR="00FA79C1">
        <w:rPr>
          <w:color w:val="000000"/>
        </w:rPr>
        <w:t xml:space="preserve">.”  </w:t>
      </w:r>
      <w:r>
        <w:rPr>
          <w:color w:val="000000"/>
        </w:rPr>
        <w:t>(Plan § 10.7(b))</w:t>
      </w:r>
      <w:r w:rsidR="006A227C">
        <w:rPr>
          <w:color w:val="000000"/>
        </w:rPr>
        <w:t xml:space="preserve">.  </w:t>
      </w:r>
      <w:r>
        <w:rPr>
          <w:color w:val="000000"/>
        </w:rPr>
        <w:t>The third-party releases under the Plan are non-consensual; they bind the objecting parties as well as the parties who consented</w:t>
      </w:r>
      <w:r w:rsidR="006A227C">
        <w:rPr>
          <w:color w:val="000000"/>
        </w:rPr>
        <w:t xml:space="preserve">.  </w:t>
      </w:r>
      <w:r>
        <w:rPr>
          <w:color w:val="000000"/>
        </w:rPr>
        <w:t xml:space="preserve">All present and potential claims connected with </w:t>
      </w:r>
      <w:r w:rsidR="00E82FD6">
        <w:rPr>
          <w:color w:val="000000"/>
        </w:rPr>
        <w:t>Oxy</w:t>
      </w:r>
      <w:r w:rsidR="006B7515">
        <w:rPr>
          <w:color w:val="000000"/>
        </w:rPr>
        <w:t>con</w:t>
      </w:r>
      <w:r>
        <w:rPr>
          <w:color w:val="000000"/>
        </w:rPr>
        <w:t xml:space="preserve"> and other opioids would be covered by the Section 10.7 Shareholder Release.</w:t>
      </w:r>
    </w:p>
    <w:p w14:paraId="3EF1D2D1" w14:textId="0EA61879" w:rsidR="00A77BBD" w:rsidRDefault="00A77BBD" w:rsidP="00A77BBD">
      <w:pPr>
        <w:pStyle w:val="BodyTextFirstIndent"/>
      </w:pPr>
      <w:r>
        <w:rPr>
          <w:color w:val="000000"/>
          <w:u w:val="single"/>
        </w:rPr>
        <w:t>Channeling Injunction</w:t>
      </w:r>
      <w:r w:rsidR="006A227C">
        <w:rPr>
          <w:color w:val="000000"/>
        </w:rPr>
        <w:t xml:space="preserve">.  </w:t>
      </w:r>
      <w:r>
        <w:rPr>
          <w:color w:val="000000"/>
        </w:rPr>
        <w:t>Under the Plan</w:t>
      </w:r>
      <w:r w:rsidR="008B54D4">
        <w:rPr>
          <w:color w:val="000000"/>
        </w:rPr>
        <w:t>,</w:t>
      </w:r>
      <w:r>
        <w:rPr>
          <w:color w:val="000000"/>
        </w:rPr>
        <w:t xml:space="preserve"> all enjoined claims against the Debtors and those against the Shareholder Released Parties are to be channeled to the nine creditor trusts for treatment according to the trust documents of each respective trust (“Channeling Injunction”)</w:t>
      </w:r>
      <w:r w:rsidR="006A227C">
        <w:rPr>
          <w:color w:val="000000"/>
        </w:rPr>
        <w:t xml:space="preserve">.  </w:t>
      </w:r>
      <w:r>
        <w:rPr>
          <w:color w:val="000000"/>
        </w:rPr>
        <w:t xml:space="preserve">However - as the </w:t>
      </w:r>
      <w:r w:rsidR="002F10FB">
        <w:rPr>
          <w:color w:val="000000"/>
        </w:rPr>
        <w:t xml:space="preserve">U.S. </w:t>
      </w:r>
      <w:r>
        <w:rPr>
          <w:color w:val="000000"/>
        </w:rPr>
        <w:t>Trustee points out</w:t>
      </w:r>
      <w:r w:rsidR="008B54D4">
        <w:rPr>
          <w:color w:val="000000"/>
        </w:rPr>
        <w:t>,</w:t>
      </w:r>
      <w:r>
        <w:rPr>
          <w:color w:val="000000"/>
        </w:rPr>
        <w:t xml:space="preserve"> and the Debtors do not contest</w:t>
      </w:r>
      <w:r w:rsidR="00E83A0F">
        <w:rPr>
          <w:color w:val="000000"/>
        </w:rPr>
        <w:t>,</w:t>
      </w:r>
      <w:r w:rsidR="00665A76">
        <w:rPr>
          <w:color w:val="000000"/>
        </w:rPr>
        <w:t xml:space="preserve"> </w:t>
      </w:r>
      <w:r w:rsidR="00E83A0F">
        <w:rPr>
          <w:color w:val="000000"/>
        </w:rPr>
        <w:t>t</w:t>
      </w:r>
      <w:r>
        <w:rPr>
          <w:color w:val="000000"/>
        </w:rPr>
        <w:t>he claims against the Shareholder Released Parties are effectively being extinguished for nothing</w:t>
      </w:r>
      <w:r w:rsidR="008B54D4">
        <w:rPr>
          <w:color w:val="000000"/>
        </w:rPr>
        <w:t>,</w:t>
      </w:r>
      <w:r>
        <w:rPr>
          <w:color w:val="000000"/>
        </w:rPr>
        <w:t xml:space="preserve"> even though they are described as being “channeled</w:t>
      </w:r>
      <w:r w:rsidR="00FA79C1">
        <w:rPr>
          <w:color w:val="000000"/>
        </w:rPr>
        <w:t xml:space="preserve">.”  </w:t>
      </w:r>
      <w:r>
        <w:rPr>
          <w:color w:val="000000"/>
        </w:rPr>
        <w:t xml:space="preserve">The </w:t>
      </w:r>
      <w:r w:rsidR="002F10FB">
        <w:rPr>
          <w:color w:val="000000"/>
        </w:rPr>
        <w:t xml:space="preserve">U.S. </w:t>
      </w:r>
      <w:r>
        <w:rPr>
          <w:color w:val="000000"/>
        </w:rPr>
        <w:t xml:space="preserve">Trustee explains that the Plan documents expressly prohibit value being paid based on causes of action (whether pre-or post-petition) against the </w:t>
      </w:r>
      <w:r w:rsidR="00E82FD6">
        <w:rPr>
          <w:color w:val="000000"/>
        </w:rPr>
        <w:t>Packler</w:t>
      </w:r>
      <w:r>
        <w:rPr>
          <w:color w:val="000000"/>
        </w:rPr>
        <w:t xml:space="preserve"> family or other non-debtors for opioid-related claims</w:t>
      </w:r>
      <w:r w:rsidR="006A227C">
        <w:rPr>
          <w:color w:val="000000"/>
        </w:rPr>
        <w:t xml:space="preserve">.  </w:t>
      </w:r>
      <w:r>
        <w:rPr>
          <w:color w:val="000000"/>
        </w:rPr>
        <w:t>And to assert any third-party claim against the trust</w:t>
      </w:r>
      <w:r w:rsidR="008B54D4">
        <w:rPr>
          <w:color w:val="000000"/>
        </w:rPr>
        <w:t>,</w:t>
      </w:r>
      <w:r>
        <w:rPr>
          <w:color w:val="000000"/>
        </w:rPr>
        <w:t xml:space="preserve"> the claimant must have filed a proof of claim in the bankruptcy prior to the bar dates</w:t>
      </w:r>
      <w:r w:rsidR="008B54D4">
        <w:rPr>
          <w:color w:val="000000"/>
        </w:rPr>
        <w:t>,</w:t>
      </w:r>
      <w:r>
        <w:rPr>
          <w:color w:val="000000"/>
        </w:rPr>
        <w:t xml:space="preserve"> but each of the bar dates passed by the time anyone was notified of the claims</w:t>
      </w:r>
      <w:r w:rsidR="008B54D4">
        <w:rPr>
          <w:color w:val="000000"/>
        </w:rPr>
        <w:t>’</w:t>
      </w:r>
      <w:r>
        <w:rPr>
          <w:color w:val="000000"/>
        </w:rPr>
        <w:t xml:space="preserve"> extinguishment</w:t>
      </w:r>
      <w:r w:rsidR="006A227C">
        <w:rPr>
          <w:color w:val="000000"/>
        </w:rPr>
        <w:t xml:space="preserve">.  </w:t>
      </w:r>
      <w:r>
        <w:rPr>
          <w:color w:val="000000"/>
        </w:rPr>
        <w:t>And to get an exception for an untimely filing</w:t>
      </w:r>
      <w:r w:rsidR="008B54D4">
        <w:rPr>
          <w:color w:val="000000"/>
        </w:rPr>
        <w:t>,</w:t>
      </w:r>
      <w:r>
        <w:rPr>
          <w:color w:val="000000"/>
        </w:rPr>
        <w:t xml:space="preserve"> a party must proceed through multiple steps</w:t>
      </w:r>
      <w:r w:rsidR="008B54D4">
        <w:rPr>
          <w:color w:val="000000"/>
        </w:rPr>
        <w:t>,</w:t>
      </w:r>
      <w:r>
        <w:rPr>
          <w:color w:val="000000"/>
        </w:rPr>
        <w:t xml:space="preserve"> after which the Bankruptcy Court - which serves as a gatekeeper - determines</w:t>
      </w:r>
      <w:r w:rsidR="008B54D4">
        <w:rPr>
          <w:color w:val="000000"/>
        </w:rPr>
        <w:t>,</w:t>
      </w:r>
      <w:r>
        <w:rPr>
          <w:color w:val="000000"/>
        </w:rPr>
        <w:t xml:space="preserve"> in its discretion</w:t>
      </w:r>
      <w:r w:rsidR="008B54D4">
        <w:rPr>
          <w:color w:val="000000"/>
        </w:rPr>
        <w:t>,</w:t>
      </w:r>
      <w:r>
        <w:rPr>
          <w:color w:val="000000"/>
        </w:rPr>
        <w:t xml:space="preserve"> that the untimely claim qualified under the Plan and granted leave to assert the claim</w:t>
      </w:r>
      <w:r w:rsidR="006A227C">
        <w:rPr>
          <w:color w:val="000000"/>
        </w:rPr>
        <w:t xml:space="preserve">.  </w:t>
      </w:r>
    </w:p>
    <w:p w14:paraId="5E316175" w14:textId="60FA2508" w:rsidR="00A77BBD" w:rsidRDefault="00A77BBD" w:rsidP="00A77BBD">
      <w:pPr>
        <w:pStyle w:val="BodyTextFirstIndent"/>
      </w:pPr>
      <w:r>
        <w:rPr>
          <w:color w:val="000000"/>
        </w:rPr>
        <w:t>Debtors sidestepped the Plan</w:t>
      </w:r>
      <w:r w:rsidR="008B54D4">
        <w:rPr>
          <w:color w:val="000000"/>
        </w:rPr>
        <w:t>’</w:t>
      </w:r>
      <w:r>
        <w:rPr>
          <w:color w:val="000000"/>
        </w:rPr>
        <w:t xml:space="preserve">s effective extinguishment of purportedly channeled third- party claims in its brief by not addressing the </w:t>
      </w:r>
      <w:r w:rsidR="002F10FB">
        <w:rPr>
          <w:color w:val="000000"/>
        </w:rPr>
        <w:t xml:space="preserve">U.S. </w:t>
      </w:r>
      <w:r>
        <w:rPr>
          <w:color w:val="000000"/>
        </w:rPr>
        <w:t>Trustee</w:t>
      </w:r>
      <w:r w:rsidR="008B54D4">
        <w:rPr>
          <w:color w:val="000000"/>
        </w:rPr>
        <w:t>’</w:t>
      </w:r>
      <w:r>
        <w:rPr>
          <w:color w:val="000000"/>
        </w:rPr>
        <w:t>s points; they made no effort to clarify this in oral argument for the Court</w:t>
      </w:r>
      <w:r w:rsidR="006A227C">
        <w:rPr>
          <w:color w:val="000000"/>
        </w:rPr>
        <w:t xml:space="preserve">.  </w:t>
      </w:r>
    </w:p>
    <w:p w14:paraId="2774B4ED" w14:textId="145CA488" w:rsidR="00A77BBD" w:rsidRDefault="00A77BBD" w:rsidP="001B4668">
      <w:pPr>
        <w:pStyle w:val="Heading2"/>
      </w:pPr>
      <w:r>
        <w:t>Objections to the Plan</w:t>
      </w:r>
    </w:p>
    <w:p w14:paraId="434D9F65" w14:textId="776B9455" w:rsidR="00A77BBD" w:rsidRDefault="00A77BBD" w:rsidP="00A77BBD">
      <w:pPr>
        <w:pStyle w:val="BodyTextFirstIndent"/>
      </w:pPr>
      <w:r>
        <w:rPr>
          <w:color w:val="000000"/>
        </w:rPr>
        <w:t>On June 3</w:t>
      </w:r>
      <w:r w:rsidR="008B54D4">
        <w:rPr>
          <w:color w:val="000000"/>
        </w:rPr>
        <w:t>,</w:t>
      </w:r>
      <w:r>
        <w:rPr>
          <w:color w:val="000000"/>
        </w:rPr>
        <w:t xml:space="preserve"> 2021</w:t>
      </w:r>
      <w:r w:rsidR="008B54D4">
        <w:rPr>
          <w:color w:val="000000"/>
        </w:rPr>
        <w:t>,</w:t>
      </w:r>
      <w:r>
        <w:rPr>
          <w:color w:val="000000"/>
        </w:rPr>
        <w:t xml:space="preserve"> the Bankruptcy Court approved </w:t>
      </w:r>
      <w:r w:rsidR="006239B5">
        <w:rPr>
          <w:color w:val="000000"/>
        </w:rPr>
        <w:t>Oxy</w:t>
      </w:r>
      <w:r w:rsidR="008B54D4">
        <w:rPr>
          <w:color w:val="000000"/>
        </w:rPr>
        <w:t>’</w:t>
      </w:r>
      <w:r>
        <w:rPr>
          <w:color w:val="000000"/>
        </w:rPr>
        <w:t>s disclosure statement</w:t>
      </w:r>
      <w:r w:rsidR="006A227C">
        <w:rPr>
          <w:color w:val="000000"/>
        </w:rPr>
        <w:t xml:space="preserve">. </w:t>
      </w:r>
    </w:p>
    <w:p w14:paraId="13E8C17B" w14:textId="4AB15223" w:rsidR="00A77BBD" w:rsidRDefault="00A77BBD" w:rsidP="00A77BBD">
      <w:pPr>
        <w:pStyle w:val="BodyTextFirstIndent"/>
      </w:pPr>
      <w:r>
        <w:rPr>
          <w:color w:val="000000"/>
        </w:rPr>
        <w:t>On July 19</w:t>
      </w:r>
      <w:r w:rsidR="008B54D4">
        <w:rPr>
          <w:color w:val="000000"/>
        </w:rPr>
        <w:t>,</w:t>
      </w:r>
      <w:r>
        <w:rPr>
          <w:color w:val="000000"/>
        </w:rPr>
        <w:t xml:space="preserve"> 2021</w:t>
      </w:r>
      <w:r w:rsidR="008B54D4">
        <w:rPr>
          <w:color w:val="000000"/>
        </w:rPr>
        <w:t>,</w:t>
      </w:r>
      <w:r>
        <w:rPr>
          <w:color w:val="000000"/>
        </w:rPr>
        <w:t xml:space="preserve"> the </w:t>
      </w:r>
      <w:r w:rsidR="002F10FB">
        <w:rPr>
          <w:color w:val="000000"/>
        </w:rPr>
        <w:t xml:space="preserve">U.S. </w:t>
      </w:r>
      <w:r>
        <w:rPr>
          <w:color w:val="000000"/>
        </w:rPr>
        <w:t>Trustee objected to confirmation of the Plan</w:t>
      </w:r>
      <w:r w:rsidR="008B54D4">
        <w:rPr>
          <w:color w:val="000000"/>
        </w:rPr>
        <w:t>,</w:t>
      </w:r>
      <w:r>
        <w:rPr>
          <w:color w:val="000000"/>
        </w:rPr>
        <w:t xml:space="preserve"> arguing that the Section 10.7 Shareholder Release was unconstitutional</w:t>
      </w:r>
      <w:r w:rsidR="008B54D4">
        <w:rPr>
          <w:color w:val="000000"/>
        </w:rPr>
        <w:t>,</w:t>
      </w:r>
      <w:r>
        <w:rPr>
          <w:color w:val="000000"/>
        </w:rPr>
        <w:t xml:space="preserve"> violates the Bankruptcy Code</w:t>
      </w:r>
      <w:r w:rsidR="008B54D4">
        <w:rPr>
          <w:color w:val="000000"/>
        </w:rPr>
        <w:t>,</w:t>
      </w:r>
      <w:r>
        <w:rPr>
          <w:color w:val="000000"/>
        </w:rPr>
        <w:t xml:space="preserve"> and is inconsistent with Second Circuit law</w:t>
      </w:r>
      <w:r w:rsidR="006A227C">
        <w:rPr>
          <w:color w:val="000000"/>
        </w:rPr>
        <w:t xml:space="preserve">.  </w:t>
      </w:r>
      <w:r>
        <w:rPr>
          <w:color w:val="000000"/>
        </w:rPr>
        <w:t>Eight states all filed objections</w:t>
      </w:r>
      <w:r w:rsidR="008B54D4">
        <w:rPr>
          <w:color w:val="000000"/>
        </w:rPr>
        <w:t>,</w:t>
      </w:r>
      <w:r>
        <w:rPr>
          <w:color w:val="000000"/>
        </w:rPr>
        <w:t xml:space="preserve"> as did the City of Seattle</w:t>
      </w:r>
      <w:r w:rsidR="008B54D4">
        <w:rPr>
          <w:color w:val="000000"/>
        </w:rPr>
        <w:t>,</w:t>
      </w:r>
      <w:r>
        <w:rPr>
          <w:color w:val="000000"/>
        </w:rPr>
        <w:t xml:space="preserve"> four Canadian municipalities</w:t>
      </w:r>
      <w:r w:rsidR="008B54D4">
        <w:rPr>
          <w:color w:val="000000"/>
        </w:rPr>
        <w:t>,</w:t>
      </w:r>
      <w:r>
        <w:rPr>
          <w:color w:val="000000"/>
        </w:rPr>
        <w:t xml:space="preserve"> two Canadian First Nations and three </w:t>
      </w:r>
      <w:r>
        <w:rPr>
          <w:i/>
          <w:iCs/>
          <w:color w:val="000000"/>
        </w:rPr>
        <w:t>pro se</w:t>
      </w:r>
      <w:r>
        <w:rPr>
          <w:color w:val="000000"/>
        </w:rPr>
        <w:t xml:space="preserve"> plaintiffs</w:t>
      </w:r>
      <w:r w:rsidR="006A227C">
        <w:rPr>
          <w:color w:val="000000"/>
        </w:rPr>
        <w:t xml:space="preserve">.  </w:t>
      </w:r>
      <w:r>
        <w:rPr>
          <w:color w:val="000000"/>
        </w:rPr>
        <w:t xml:space="preserve">The </w:t>
      </w:r>
      <w:r w:rsidR="002F10FB">
        <w:rPr>
          <w:color w:val="000000"/>
        </w:rPr>
        <w:t xml:space="preserve">U.S. </w:t>
      </w:r>
      <w:r>
        <w:rPr>
          <w:color w:val="000000"/>
        </w:rPr>
        <w:t>Attorney</w:t>
      </w:r>
      <w:r w:rsidR="008B54D4">
        <w:rPr>
          <w:color w:val="000000"/>
        </w:rPr>
        <w:t>’</w:t>
      </w:r>
      <w:r>
        <w:rPr>
          <w:color w:val="000000"/>
        </w:rPr>
        <w:t>s Office for this District on behalf of the United States of America filed a statement of interest supporting these objections to the Section 10.7 Shareholder Release</w:t>
      </w:r>
      <w:r w:rsidR="006A227C">
        <w:rPr>
          <w:color w:val="000000"/>
        </w:rPr>
        <w:t xml:space="preserve">.  </w:t>
      </w:r>
    </w:p>
    <w:p w14:paraId="635352B7" w14:textId="6DD8B5D0" w:rsidR="00A77BBD" w:rsidRDefault="00A77BBD" w:rsidP="00A77BBD">
      <w:pPr>
        <w:pStyle w:val="BodyTextFirstIndent"/>
      </w:pPr>
      <w:r>
        <w:rPr>
          <w:color w:val="000000"/>
        </w:rPr>
        <w:t>The objectors argued</w:t>
      </w:r>
      <w:r w:rsidR="008B54D4">
        <w:rPr>
          <w:color w:val="000000"/>
        </w:rPr>
        <w:t>,</w:t>
      </w:r>
      <w:r>
        <w:rPr>
          <w:color w:val="000000"/>
        </w:rPr>
        <w:t xml:space="preserve"> </w:t>
      </w:r>
      <w:r>
        <w:rPr>
          <w:i/>
          <w:iCs/>
          <w:color w:val="000000"/>
        </w:rPr>
        <w:t>inter alia</w:t>
      </w:r>
      <w:r>
        <w:rPr>
          <w:color w:val="000000"/>
        </w:rPr>
        <w:t xml:space="preserve"> and as applicable to them</w:t>
      </w:r>
      <w:r w:rsidR="008B54D4">
        <w:rPr>
          <w:color w:val="000000"/>
        </w:rPr>
        <w:t>,</w:t>
      </w:r>
      <w:r>
        <w:rPr>
          <w:color w:val="000000"/>
        </w:rPr>
        <w:t xml:space="preserve"> that the Section 10.7 Shareholder Release (1) violates the third-party claimants</w:t>
      </w:r>
      <w:r w:rsidR="008B54D4">
        <w:rPr>
          <w:color w:val="000000"/>
        </w:rPr>
        <w:t>’</w:t>
      </w:r>
      <w:r>
        <w:rPr>
          <w:color w:val="000000"/>
        </w:rPr>
        <w:t xml:space="preserve"> rights to due process</w:t>
      </w:r>
      <w:r w:rsidR="008B54D4">
        <w:rPr>
          <w:color w:val="000000"/>
        </w:rPr>
        <w:t>,</w:t>
      </w:r>
      <w:r>
        <w:rPr>
          <w:color w:val="000000"/>
        </w:rPr>
        <w:t xml:space="preserve"> (2) violates the objecting states</w:t>
      </w:r>
      <w:r w:rsidR="008B54D4">
        <w:rPr>
          <w:color w:val="000000"/>
        </w:rPr>
        <w:t>’</w:t>
      </w:r>
      <w:r>
        <w:rPr>
          <w:color w:val="000000"/>
        </w:rPr>
        <w:t xml:space="preserve"> sovereignty and police power</w:t>
      </w:r>
      <w:r w:rsidR="008B54D4">
        <w:rPr>
          <w:color w:val="000000"/>
        </w:rPr>
        <w:t>,</w:t>
      </w:r>
      <w:r>
        <w:rPr>
          <w:color w:val="000000"/>
        </w:rPr>
        <w:t xml:space="preserve"> (3) is not permitted under the Bankruptcy Code</w:t>
      </w:r>
      <w:r w:rsidR="008B54D4">
        <w:rPr>
          <w:color w:val="000000"/>
        </w:rPr>
        <w:t>,</w:t>
      </w:r>
      <w:r>
        <w:rPr>
          <w:color w:val="000000"/>
        </w:rPr>
        <w:t xml:space="preserve"> and (4) the Bankruptcy Court lacks constitutional</w:t>
      </w:r>
      <w:r w:rsidR="008B54D4">
        <w:rPr>
          <w:color w:val="000000"/>
        </w:rPr>
        <w:t>,</w:t>
      </w:r>
      <w:r>
        <w:rPr>
          <w:color w:val="000000"/>
        </w:rPr>
        <w:t xml:space="preserve"> statutory</w:t>
      </w:r>
      <w:r w:rsidR="008B54D4">
        <w:rPr>
          <w:color w:val="000000"/>
        </w:rPr>
        <w:t>,</w:t>
      </w:r>
      <w:r>
        <w:rPr>
          <w:color w:val="000000"/>
        </w:rPr>
        <w:t xml:space="preserve"> and equitable authority to approve the Section 10.7 Shareholder Release.</w:t>
      </w:r>
    </w:p>
    <w:p w14:paraId="0E9917D1" w14:textId="22CBABF0" w:rsidR="00A77BBD" w:rsidRDefault="00A77BBD" w:rsidP="001B4668">
      <w:pPr>
        <w:pStyle w:val="Heading2"/>
      </w:pPr>
      <w:r>
        <w:t xml:space="preserve">Judge </w:t>
      </w:r>
      <w:r w:rsidR="00E82FD6">
        <w:t>Wains</w:t>
      </w:r>
      <w:r w:rsidR="008B54D4">
        <w:t>’</w:t>
      </w:r>
      <w:r>
        <w:t>s Decision to Confirm the Plan</w:t>
      </w:r>
    </w:p>
    <w:p w14:paraId="27BE4453" w14:textId="43FD54A6" w:rsidR="00A77BBD" w:rsidRDefault="00A77BBD" w:rsidP="00A77BBD">
      <w:pPr>
        <w:pStyle w:val="BodyTextFirstIndent"/>
      </w:pPr>
      <w:r>
        <w:rPr>
          <w:color w:val="000000"/>
        </w:rPr>
        <w:t xml:space="preserve">Judge </w:t>
      </w:r>
      <w:r w:rsidR="00E82FD6">
        <w:rPr>
          <w:color w:val="000000"/>
        </w:rPr>
        <w:t>Wains</w:t>
      </w:r>
      <w:r w:rsidR="008B54D4">
        <w:rPr>
          <w:color w:val="000000"/>
        </w:rPr>
        <w:t>’</w:t>
      </w:r>
      <w:r>
        <w:rPr>
          <w:color w:val="000000"/>
        </w:rPr>
        <w:t xml:space="preserve">s opinion is a judicial </w:t>
      </w:r>
      <w:r>
        <w:rPr>
          <w:i/>
          <w:iCs/>
          <w:color w:val="000000"/>
        </w:rPr>
        <w:t>tour de force</w:t>
      </w:r>
      <w:r>
        <w:rPr>
          <w:color w:val="000000"/>
        </w:rPr>
        <w:t xml:space="preserve"> - delivered from the bench only days after the end of a lengthy trial</w:t>
      </w:r>
      <w:r w:rsidR="008B54D4">
        <w:rPr>
          <w:color w:val="000000"/>
        </w:rPr>
        <w:t>,</w:t>
      </w:r>
      <w:r>
        <w:rPr>
          <w:color w:val="000000"/>
        </w:rPr>
        <w:t xml:space="preserve"> it included extensive findings of fact and addressed every conceivable legal argument in great detail</w:t>
      </w:r>
      <w:r w:rsidR="006A227C">
        <w:rPr>
          <w:color w:val="000000"/>
        </w:rPr>
        <w:t xml:space="preserve">.  </w:t>
      </w:r>
      <w:r>
        <w:rPr>
          <w:color w:val="000000"/>
        </w:rPr>
        <w:t>Sixteen days later</w:t>
      </w:r>
      <w:r w:rsidR="008B54D4">
        <w:rPr>
          <w:color w:val="000000"/>
        </w:rPr>
        <w:t>,</w:t>
      </w:r>
      <w:r>
        <w:rPr>
          <w:color w:val="000000"/>
        </w:rPr>
        <w:t xml:space="preserve"> on September 17</w:t>
      </w:r>
      <w:r w:rsidR="008B54D4">
        <w:rPr>
          <w:color w:val="000000"/>
        </w:rPr>
        <w:t>,</w:t>
      </w:r>
      <w:r>
        <w:rPr>
          <w:color w:val="000000"/>
        </w:rPr>
        <w:t xml:space="preserve"> the learned bankruptcy judge filed a written version of that oral decision</w:t>
      </w:r>
      <w:r w:rsidR="008B54D4">
        <w:rPr>
          <w:color w:val="000000"/>
        </w:rPr>
        <w:t>,</w:t>
      </w:r>
      <w:r>
        <w:rPr>
          <w:color w:val="000000"/>
        </w:rPr>
        <w:t xml:space="preserve"> running to 54 pages on Westlaw</w:t>
      </w:r>
      <w:r w:rsidR="008B54D4">
        <w:rPr>
          <w:color w:val="000000"/>
        </w:rPr>
        <w:t>,</w:t>
      </w:r>
      <w:r>
        <w:rPr>
          <w:color w:val="000000"/>
        </w:rPr>
        <w:t xml:space="preserve"> which is the version summarized here</w:t>
      </w:r>
      <w:r w:rsidR="006A227C">
        <w:rPr>
          <w:color w:val="000000"/>
        </w:rPr>
        <w:t xml:space="preserve">.  </w:t>
      </w:r>
    </w:p>
    <w:p w14:paraId="494FF17A" w14:textId="2679012D" w:rsidR="00A77BBD" w:rsidRDefault="00A77BBD" w:rsidP="00A77BBD">
      <w:pPr>
        <w:pStyle w:val="BodyTextFirstIndent"/>
      </w:pPr>
      <w:r>
        <w:rPr>
          <w:color w:val="000000"/>
        </w:rPr>
        <w:t xml:space="preserve">Judge </w:t>
      </w:r>
      <w:r w:rsidR="00E82FD6">
        <w:rPr>
          <w:color w:val="000000"/>
        </w:rPr>
        <w:t>Wains</w:t>
      </w:r>
      <w:r>
        <w:rPr>
          <w:color w:val="000000"/>
        </w:rPr>
        <w:t xml:space="preserve"> began by describing the highly unusual and complex nature of the situation before him - a “massive public health crisis</w:t>
      </w:r>
      <w:r w:rsidR="008B54D4">
        <w:rPr>
          <w:color w:val="000000"/>
        </w:rPr>
        <w:t>,</w:t>
      </w:r>
      <w:r>
        <w:rPr>
          <w:color w:val="000000"/>
        </w:rPr>
        <w:t>” with a potential creditor body that included “every person in the range of the Debtors</w:t>
      </w:r>
      <w:r w:rsidR="008B54D4">
        <w:rPr>
          <w:color w:val="000000"/>
        </w:rPr>
        <w:t>’</w:t>
      </w:r>
      <w:r>
        <w:rPr>
          <w:color w:val="000000"/>
        </w:rPr>
        <w:t xml:space="preserve"> opioid products sold throughout the United States” - individuals</w:t>
      </w:r>
      <w:r w:rsidR="008B54D4">
        <w:rPr>
          <w:color w:val="000000"/>
        </w:rPr>
        <w:t>,</w:t>
      </w:r>
      <w:r>
        <w:rPr>
          <w:color w:val="000000"/>
        </w:rPr>
        <w:t xml:space="preserve"> local</w:t>
      </w:r>
      <w:r w:rsidR="008B54D4">
        <w:rPr>
          <w:color w:val="000000"/>
        </w:rPr>
        <w:t>,</w:t>
      </w:r>
      <w:r>
        <w:rPr>
          <w:color w:val="000000"/>
        </w:rPr>
        <w:t xml:space="preserve"> state and territorial governments</w:t>
      </w:r>
      <w:r w:rsidR="008B54D4">
        <w:rPr>
          <w:color w:val="000000"/>
        </w:rPr>
        <w:t>,</w:t>
      </w:r>
      <w:r>
        <w:rPr>
          <w:color w:val="000000"/>
        </w:rPr>
        <w:t xml:space="preserve"> Indian tribes</w:t>
      </w:r>
      <w:r w:rsidR="008B54D4">
        <w:rPr>
          <w:color w:val="000000"/>
        </w:rPr>
        <w:t>,</w:t>
      </w:r>
      <w:r>
        <w:rPr>
          <w:color w:val="000000"/>
        </w:rPr>
        <w:t xml:space="preserve"> hospitals</w:t>
      </w:r>
      <w:r w:rsidR="008B54D4">
        <w:rPr>
          <w:color w:val="000000"/>
        </w:rPr>
        <w:t>,</w:t>
      </w:r>
      <w:r>
        <w:rPr>
          <w:color w:val="000000"/>
        </w:rPr>
        <w:t xml:space="preserve"> first responders</w:t>
      </w:r>
      <w:r w:rsidR="008B54D4">
        <w:rPr>
          <w:color w:val="000000"/>
        </w:rPr>
        <w:t>,</w:t>
      </w:r>
      <w:r>
        <w:rPr>
          <w:color w:val="000000"/>
        </w:rPr>
        <w:t xml:space="preserve"> and the United States itself</w:t>
      </w:r>
      <w:r w:rsidR="006A227C">
        <w:rPr>
          <w:color w:val="000000"/>
        </w:rPr>
        <w:t xml:space="preserve">.  </w:t>
      </w:r>
      <w:r>
        <w:rPr>
          <w:color w:val="000000"/>
        </w:rPr>
        <w:t>He noted that over 618</w:t>
      </w:r>
      <w:r w:rsidR="008B54D4">
        <w:rPr>
          <w:color w:val="000000"/>
        </w:rPr>
        <w:t>,</w:t>
      </w:r>
      <w:r>
        <w:rPr>
          <w:color w:val="000000"/>
        </w:rPr>
        <w:t>000 claims</w:t>
      </w:r>
      <w:r w:rsidR="008B54D4">
        <w:rPr>
          <w:color w:val="000000"/>
        </w:rPr>
        <w:t>,</w:t>
      </w:r>
      <w:r>
        <w:rPr>
          <w:color w:val="000000"/>
        </w:rPr>
        <w:t xml:space="preserve"> in an amount exceeding two trillion dollars</w:t>
      </w:r>
      <w:r w:rsidR="008B54D4">
        <w:rPr>
          <w:color w:val="000000"/>
        </w:rPr>
        <w:t>,</w:t>
      </w:r>
      <w:r>
        <w:rPr>
          <w:color w:val="000000"/>
        </w:rPr>
        <w:t xml:space="preserve"> had been filed in the bankruptcy</w:t>
      </w:r>
      <w:r w:rsidR="006A227C">
        <w:rPr>
          <w:color w:val="000000"/>
        </w:rPr>
        <w:t xml:space="preserve">.  </w:t>
      </w:r>
      <w:r>
        <w:rPr>
          <w:color w:val="000000"/>
        </w:rPr>
        <w:t>And he commended the parties for working in “unique and trailblazing ways to address the public health crisis that underlies those claims</w:t>
      </w:r>
      <w:r w:rsidR="00FA79C1">
        <w:rPr>
          <w:color w:val="000000"/>
        </w:rPr>
        <w:t xml:space="preserve">.”  </w:t>
      </w:r>
    </w:p>
    <w:p w14:paraId="1AEFC08C" w14:textId="6DF7AFDF" w:rsidR="00A77BBD" w:rsidRDefault="00A77BBD" w:rsidP="001B4668">
      <w:pPr>
        <w:pStyle w:val="BlockText"/>
      </w:pPr>
      <w:r>
        <w:t>In his opening remarks</w:t>
      </w:r>
      <w:r w:rsidR="008B54D4">
        <w:t>,</w:t>
      </w:r>
      <w:r>
        <w:t xml:space="preserve"> Judge </w:t>
      </w:r>
      <w:r w:rsidR="00E82FD6">
        <w:t>Wains</w:t>
      </w:r>
      <w:r>
        <w:t xml:space="preserve"> also addressed the elephant in the room:</w:t>
      </w:r>
    </w:p>
    <w:p w14:paraId="7ABA6B8F" w14:textId="40C708C1" w:rsidR="00A77BBD" w:rsidRDefault="00A77BBD" w:rsidP="001B4668">
      <w:pPr>
        <w:pStyle w:val="BlockText"/>
      </w:pPr>
      <w:r>
        <w:t>These cases are complex also because the Debtors</w:t>
      </w:r>
      <w:r w:rsidR="008B54D4">
        <w:t>’</w:t>
      </w:r>
      <w:r>
        <w:t xml:space="preserve"> assets include enormous claims against their controlling shareholders</w:t>
      </w:r>
      <w:r w:rsidR="008B54D4">
        <w:t>,</w:t>
      </w:r>
      <w:r>
        <w:t xml:space="preserve"> and in some instances directors and officers</w:t>
      </w:r>
      <w:r w:rsidR="008B54D4">
        <w:t>,</w:t>
      </w:r>
      <w:r>
        <w:t xml:space="preserve"> who are members of the </w:t>
      </w:r>
      <w:r w:rsidR="00E82FD6">
        <w:t>Packler</w:t>
      </w:r>
      <w:r>
        <w:t xml:space="preserve"> family</w:t>
      </w:r>
      <w:r w:rsidR="008B54D4">
        <w:t>,</w:t>
      </w:r>
      <w:r>
        <w:t xml:space="preserve"> whose aggregate net worth</w:t>
      </w:r>
      <w:r w:rsidR="008B54D4">
        <w:t>,</w:t>
      </w:r>
      <w:r>
        <w:t xml:space="preserve"> though greater than the Debtors</w:t>
      </w:r>
      <w:r w:rsidR="008B54D4">
        <w:t>’,</w:t>
      </w:r>
      <w:r>
        <w:t xml:space="preserve"> also may well be insufficient to satisfy the Debtors</w:t>
      </w:r>
      <w:r w:rsidR="008B54D4">
        <w:t>’</w:t>
      </w:r>
      <w:r>
        <w:t xml:space="preserve"> claims against them and other very closely related claims that are separately asserted by third parties who are also creditors of the Debtors.</w:t>
      </w:r>
    </w:p>
    <w:p w14:paraId="5CBD4FB3" w14:textId="77777777" w:rsidR="00A77BBD" w:rsidRDefault="00A77BBD" w:rsidP="001B4668">
      <w:pPr>
        <w:pStyle w:val="BodyTextFirstIndent"/>
        <w:ind w:firstLine="0"/>
      </w:pPr>
      <w:r>
        <w:rPr>
          <w:i/>
          <w:iCs/>
          <w:color w:val="000000"/>
        </w:rPr>
        <w:t>Id.</w:t>
      </w:r>
    </w:p>
    <w:p w14:paraId="65A75E84" w14:textId="1E9A0E1E" w:rsidR="00A77BBD" w:rsidRDefault="00A77BBD" w:rsidP="00A77BBD">
      <w:pPr>
        <w:pStyle w:val="BodyTextFirstIndent"/>
      </w:pPr>
      <w:r>
        <w:rPr>
          <w:color w:val="000000"/>
        </w:rPr>
        <w:t xml:space="preserve">Judge </w:t>
      </w:r>
      <w:r w:rsidR="00E82FD6">
        <w:rPr>
          <w:color w:val="000000"/>
        </w:rPr>
        <w:t>Wains</w:t>
      </w:r>
      <w:r>
        <w:rPr>
          <w:color w:val="000000"/>
        </w:rPr>
        <w:t xml:space="preserve"> then announced the ultimate result:</w:t>
      </w:r>
    </w:p>
    <w:p w14:paraId="53B44625" w14:textId="06BEC0A1" w:rsidR="00A77BBD" w:rsidRDefault="00A77BBD" w:rsidP="00A77BBD">
      <w:pPr>
        <w:pStyle w:val="BodyTextFirstIndent"/>
      </w:pPr>
      <w:r>
        <w:rPr>
          <w:color w:val="000000"/>
        </w:rPr>
        <w:t>First</w:t>
      </w:r>
      <w:r w:rsidR="008B54D4">
        <w:rPr>
          <w:color w:val="000000"/>
        </w:rPr>
        <w:t>,</w:t>
      </w:r>
      <w:r>
        <w:rPr>
          <w:color w:val="000000"/>
        </w:rPr>
        <w:t xml:space="preserve"> he concluded that there existed no other reasonably conceivable means to achieve the result that would be accomplished by the Plan in addressing the problems presented by this case</w:t>
      </w:r>
      <w:r w:rsidR="006A227C">
        <w:rPr>
          <w:color w:val="000000"/>
        </w:rPr>
        <w:t xml:space="preserve">.  </w:t>
      </w:r>
      <w:r>
        <w:rPr>
          <w:color w:val="000000"/>
        </w:rPr>
        <w:t>Second</w:t>
      </w:r>
      <w:r w:rsidR="008B54D4">
        <w:rPr>
          <w:color w:val="000000"/>
        </w:rPr>
        <w:t>,</w:t>
      </w:r>
      <w:r>
        <w:rPr>
          <w:color w:val="000000"/>
        </w:rPr>
        <w:t xml:space="preserve"> he found that well-established precedent - which he described as “Congress in the Bankruptcy Code and the courts interpreting it” - authorized him to confirm the Plan</w:t>
      </w:r>
      <w:r w:rsidR="006A227C">
        <w:rPr>
          <w:color w:val="000000"/>
        </w:rPr>
        <w:t xml:space="preserve">.  </w:t>
      </w:r>
      <w:r>
        <w:rPr>
          <w:i/>
          <w:iCs/>
          <w:color w:val="000000"/>
        </w:rPr>
        <w:t>Id</w:t>
      </w:r>
      <w:r>
        <w:rPr>
          <w:color w:val="000000"/>
        </w:rPr>
        <w:t>.</w:t>
      </w:r>
      <w:r w:rsidR="001B4668">
        <w:rPr>
          <w:color w:val="000000"/>
        </w:rPr>
        <w:t xml:space="preserve"> </w:t>
      </w:r>
      <w:r>
        <w:rPr>
          <w:color w:val="000000"/>
        </w:rPr>
        <w:t>Insofar as is relevant to this appeal</w:t>
      </w:r>
      <w:r w:rsidR="008B54D4">
        <w:rPr>
          <w:color w:val="000000"/>
        </w:rPr>
        <w:t>,</w:t>
      </w:r>
      <w:r>
        <w:rPr>
          <w:color w:val="000000"/>
        </w:rPr>
        <w:t xml:space="preserve"> Judge </w:t>
      </w:r>
      <w:r w:rsidR="00E82FD6">
        <w:rPr>
          <w:color w:val="000000"/>
        </w:rPr>
        <w:t>Wains</w:t>
      </w:r>
      <w:r>
        <w:rPr>
          <w:color w:val="000000"/>
        </w:rPr>
        <w:t xml:space="preserve"> reached the following conclusions.</w:t>
      </w:r>
    </w:p>
    <w:p w14:paraId="45F3E749" w14:textId="70481B07" w:rsidR="00A77BBD" w:rsidRDefault="00A77BBD" w:rsidP="001B4668">
      <w:pPr>
        <w:pStyle w:val="Heading3"/>
      </w:pPr>
      <w:r>
        <w:t xml:space="preserve">The Section 10.7 Shareholder Release and Settlement with the </w:t>
      </w:r>
      <w:r w:rsidR="00E82FD6">
        <w:t>Packler</w:t>
      </w:r>
      <w:r>
        <w:t>s</w:t>
      </w:r>
    </w:p>
    <w:p w14:paraId="38FCC04D" w14:textId="134A9616" w:rsidR="00A77BBD" w:rsidRDefault="00A77BBD" w:rsidP="00A77BBD">
      <w:pPr>
        <w:pStyle w:val="BodyTextFirstIndent"/>
      </w:pPr>
      <w:r>
        <w:rPr>
          <w:color w:val="000000"/>
        </w:rPr>
        <w:t>The meat of this case</w:t>
      </w:r>
      <w:r w:rsidR="008B54D4">
        <w:rPr>
          <w:color w:val="000000"/>
        </w:rPr>
        <w:t>,</w:t>
      </w:r>
      <w:r>
        <w:rPr>
          <w:color w:val="000000"/>
        </w:rPr>
        <w:t xml:space="preserve"> both before Judge </w:t>
      </w:r>
      <w:r w:rsidR="00E82FD6">
        <w:rPr>
          <w:color w:val="000000"/>
        </w:rPr>
        <w:t>Wains</w:t>
      </w:r>
      <w:r>
        <w:rPr>
          <w:color w:val="000000"/>
        </w:rPr>
        <w:t xml:space="preserve"> and on this appeal</w:t>
      </w:r>
      <w:r w:rsidR="008B54D4">
        <w:rPr>
          <w:color w:val="000000"/>
        </w:rPr>
        <w:t>,</w:t>
      </w:r>
      <w:r>
        <w:rPr>
          <w:color w:val="000000"/>
        </w:rPr>
        <w:t xml:space="preserve"> is the Bankruptcy Court</w:t>
      </w:r>
      <w:r w:rsidR="008B54D4">
        <w:rPr>
          <w:color w:val="000000"/>
        </w:rPr>
        <w:t>’</w:t>
      </w:r>
      <w:r>
        <w:rPr>
          <w:color w:val="000000"/>
        </w:rPr>
        <w:t xml:space="preserve">s approval of the broad releases that the Plan affords to all members of the </w:t>
      </w:r>
      <w:r w:rsidR="00E82FD6">
        <w:rPr>
          <w:color w:val="000000"/>
        </w:rPr>
        <w:t>Packler</w:t>
      </w:r>
      <w:r>
        <w:rPr>
          <w:color w:val="000000"/>
        </w:rPr>
        <w:t xml:space="preserve"> family and to their related entities</w:t>
      </w:r>
      <w:r w:rsidR="008B54D4">
        <w:rPr>
          <w:color w:val="000000"/>
        </w:rPr>
        <w:t>,</w:t>
      </w:r>
      <w:r>
        <w:rPr>
          <w:color w:val="000000"/>
        </w:rPr>
        <w:t xml:space="preserve"> including businesses and trusts.</w:t>
      </w:r>
    </w:p>
    <w:p w14:paraId="536A0936" w14:textId="065C2FC1" w:rsidR="00A77BBD" w:rsidRDefault="00A77BBD" w:rsidP="00A77BBD">
      <w:pPr>
        <w:pStyle w:val="BodyTextFirstIndent"/>
      </w:pPr>
      <w:r>
        <w:rPr>
          <w:color w:val="000000"/>
        </w:rPr>
        <w:t xml:space="preserve">The Plan includes two settlements with every member of the </w:t>
      </w:r>
      <w:r w:rsidR="00E82FD6">
        <w:rPr>
          <w:color w:val="000000"/>
        </w:rPr>
        <w:t>Packler</w:t>
      </w:r>
      <w:r>
        <w:rPr>
          <w:color w:val="000000"/>
        </w:rPr>
        <w:t xml:space="preserve"> family - whether or not that individual had anything to do with the management of </w:t>
      </w:r>
      <w:r w:rsidR="006239B5">
        <w:rPr>
          <w:color w:val="000000"/>
        </w:rPr>
        <w:t>Oxy</w:t>
      </w:r>
      <w:r>
        <w:rPr>
          <w:color w:val="000000"/>
        </w:rPr>
        <w:t xml:space="preserve"> or personally exercised any control over </w:t>
      </w:r>
      <w:r w:rsidR="006239B5">
        <w:rPr>
          <w:color w:val="000000"/>
        </w:rPr>
        <w:t>Oxy</w:t>
      </w:r>
      <w:r>
        <w:rPr>
          <w:color w:val="000000"/>
        </w:rPr>
        <w:t xml:space="preserve"> - and with a variety of entities related to the </w:t>
      </w:r>
      <w:r w:rsidR="00E82FD6">
        <w:rPr>
          <w:color w:val="000000"/>
        </w:rPr>
        <w:t>Packler</w:t>
      </w:r>
      <w:r>
        <w:rPr>
          <w:color w:val="000000"/>
        </w:rPr>
        <w:t>s</w:t>
      </w:r>
      <w:r w:rsidR="008B54D4">
        <w:rPr>
          <w:color w:val="000000"/>
        </w:rPr>
        <w:t>,</w:t>
      </w:r>
      <w:r>
        <w:rPr>
          <w:color w:val="000000"/>
        </w:rPr>
        <w:t xml:space="preserve"> including various trusts</w:t>
      </w:r>
      <w:r w:rsidR="008B54D4">
        <w:rPr>
          <w:color w:val="000000"/>
        </w:rPr>
        <w:t>,</w:t>
      </w:r>
      <w:r>
        <w:rPr>
          <w:color w:val="000000"/>
        </w:rPr>
        <w:t xml:space="preserve"> businesses</w:t>
      </w:r>
      <w:r w:rsidR="008B54D4">
        <w:rPr>
          <w:color w:val="000000"/>
        </w:rPr>
        <w:t>,</w:t>
      </w:r>
      <w:r>
        <w:rPr>
          <w:color w:val="000000"/>
        </w:rPr>
        <w:t xml:space="preserve"> and IACs</w:t>
      </w:r>
      <w:r w:rsidR="006A227C">
        <w:rPr>
          <w:color w:val="000000"/>
        </w:rPr>
        <w:t xml:space="preserve">.  </w:t>
      </w:r>
      <w:r>
        <w:rPr>
          <w:color w:val="000000"/>
        </w:rPr>
        <w:t>Taken together these individuals and entities (not all of whom have been or apparently can be identified) are known as the “Shareholder Released Parties</w:t>
      </w:r>
      <w:r w:rsidR="00FA79C1">
        <w:rPr>
          <w:color w:val="000000"/>
        </w:rPr>
        <w:t xml:space="preserve">.”  </w:t>
      </w:r>
      <w:r w:rsidR="00FD7892">
        <w:rPr>
          <w:i/>
          <w:iCs/>
          <w:color w:val="000000"/>
        </w:rPr>
        <w:t xml:space="preserve">Id. </w:t>
      </w:r>
      <w:r>
        <w:rPr>
          <w:color w:val="000000"/>
        </w:rPr>
        <w:t>at *24.</w:t>
      </w:r>
    </w:p>
    <w:p w14:paraId="25F04226" w14:textId="131B64F9" w:rsidR="00A77BBD" w:rsidRDefault="00A77BBD" w:rsidP="00A77BBD">
      <w:pPr>
        <w:pStyle w:val="BodyTextFirstIndent"/>
      </w:pPr>
      <w:r>
        <w:rPr>
          <w:color w:val="000000"/>
        </w:rPr>
        <w:t>The first settlement disposed of claims that the Debtors could assert against the Shareholder Released Parties for the benefit its creditors</w:t>
      </w:r>
      <w:r w:rsidR="006A227C">
        <w:rPr>
          <w:color w:val="000000"/>
        </w:rPr>
        <w:t xml:space="preserve">.  </w:t>
      </w:r>
      <w:r w:rsidR="00FD7892">
        <w:rPr>
          <w:i/>
          <w:iCs/>
          <w:color w:val="000000"/>
        </w:rPr>
        <w:t xml:space="preserve">Id. </w:t>
      </w:r>
      <w:r>
        <w:rPr>
          <w:color w:val="000000"/>
        </w:rPr>
        <w:t>These included claims for</w:t>
      </w:r>
      <w:r w:rsidR="00E21AF3">
        <w:rPr>
          <w:color w:val="000000"/>
        </w:rPr>
        <w:t>:</w:t>
      </w:r>
      <w:r>
        <w:rPr>
          <w:color w:val="000000"/>
        </w:rPr>
        <w:t xml:space="preserve"> </w:t>
      </w:r>
      <w:r w:rsidR="00A11A82">
        <w:rPr>
          <w:color w:val="000000"/>
        </w:rPr>
        <w:t xml:space="preserve"> </w:t>
      </w:r>
      <w:r>
        <w:rPr>
          <w:color w:val="000000"/>
        </w:rPr>
        <w:t xml:space="preserve">(1) breach of fiduciary duty against those members of the </w:t>
      </w:r>
      <w:r w:rsidR="00E82FD6">
        <w:rPr>
          <w:color w:val="000000"/>
        </w:rPr>
        <w:t>Packler</w:t>
      </w:r>
      <w:r>
        <w:rPr>
          <w:color w:val="000000"/>
        </w:rPr>
        <w:t xml:space="preserve"> family who were involved in - indeed</w:t>
      </w:r>
      <w:r w:rsidR="008B54D4">
        <w:rPr>
          <w:color w:val="000000"/>
        </w:rPr>
        <w:t>,</w:t>
      </w:r>
      <w:r>
        <w:rPr>
          <w:color w:val="000000"/>
        </w:rPr>
        <w:t xml:space="preserve"> who drove - the business decisions that were the basis for </w:t>
      </w:r>
      <w:r w:rsidR="006239B5">
        <w:rPr>
          <w:color w:val="000000"/>
        </w:rPr>
        <w:t>Oxy</w:t>
      </w:r>
      <w:r w:rsidR="008B54D4">
        <w:rPr>
          <w:color w:val="000000"/>
        </w:rPr>
        <w:t>’</w:t>
      </w:r>
      <w:r>
        <w:rPr>
          <w:color w:val="000000"/>
        </w:rPr>
        <w:t>s criminal and civil liability</w:t>
      </w:r>
      <w:r w:rsidR="008B54D4">
        <w:rPr>
          <w:color w:val="000000"/>
        </w:rPr>
        <w:t>,</w:t>
      </w:r>
      <w:r>
        <w:rPr>
          <w:color w:val="000000"/>
        </w:rPr>
        <w:t xml:space="preserve"> and (2) fraudulent conveyance</w:t>
      </w:r>
      <w:r w:rsidR="00E21AF3">
        <w:rPr>
          <w:color w:val="000000"/>
        </w:rPr>
        <w:t xml:space="preserve"> or transfer</w:t>
      </w:r>
      <w:r>
        <w:rPr>
          <w:color w:val="000000"/>
        </w:rPr>
        <w:t xml:space="preserve"> arising out of the </w:t>
      </w:r>
      <w:r w:rsidR="00E82FD6">
        <w:rPr>
          <w:color w:val="000000"/>
        </w:rPr>
        <w:t>Packler</w:t>
      </w:r>
      <w:r>
        <w:rPr>
          <w:color w:val="000000"/>
        </w:rPr>
        <w:t xml:space="preserve"> family</w:t>
      </w:r>
      <w:r w:rsidR="008B54D4">
        <w:rPr>
          <w:color w:val="000000"/>
        </w:rPr>
        <w:t>’</w:t>
      </w:r>
      <w:r>
        <w:rPr>
          <w:color w:val="000000"/>
        </w:rPr>
        <w:t>s removal of nearly $11 billion from the Debtor corporations over the course of a decade</w:t>
      </w:r>
      <w:r w:rsidR="006A227C">
        <w:rPr>
          <w:color w:val="000000"/>
        </w:rPr>
        <w:t xml:space="preserve">.  </w:t>
      </w:r>
      <w:r>
        <w:rPr>
          <w:i/>
          <w:iCs/>
          <w:color w:val="000000"/>
        </w:rPr>
        <w:t xml:space="preserve">See </w:t>
      </w:r>
      <w:r w:rsidR="00FD7892">
        <w:rPr>
          <w:i/>
          <w:iCs/>
          <w:color w:val="000000"/>
        </w:rPr>
        <w:t xml:space="preserve">Id. </w:t>
      </w:r>
      <w:r>
        <w:rPr>
          <w:color w:val="000000"/>
        </w:rPr>
        <w:t>at *31-32.</w:t>
      </w:r>
    </w:p>
    <w:p w14:paraId="0D266401" w14:textId="72243E99" w:rsidR="00A77BBD" w:rsidRDefault="00A77BBD" w:rsidP="00A77BBD">
      <w:pPr>
        <w:pStyle w:val="BodyTextFirstIndent"/>
      </w:pPr>
      <w:r>
        <w:rPr>
          <w:color w:val="000000"/>
        </w:rPr>
        <w:t>The second settlement disposed of certain third-party claims that could not be asserted by the Debtors against the Shareholder Released Parties</w:t>
      </w:r>
      <w:r w:rsidR="008B54D4">
        <w:rPr>
          <w:color w:val="000000"/>
        </w:rPr>
        <w:t>,</w:t>
      </w:r>
      <w:r>
        <w:rPr>
          <w:color w:val="000000"/>
        </w:rPr>
        <w:t xml:space="preserve"> but were particularized to others</w:t>
      </w:r>
      <w:r w:rsidR="006A227C">
        <w:rPr>
          <w:color w:val="000000"/>
        </w:rPr>
        <w:t xml:space="preserve">.  </w:t>
      </w:r>
      <w:r>
        <w:rPr>
          <w:color w:val="000000"/>
        </w:rPr>
        <w:t>Chief among these claims are claims asserted by the states - both the consenting states and the objecting states - arising under various unfair trade practices and consumer protection laws that make officers</w:t>
      </w:r>
      <w:r w:rsidR="008B54D4">
        <w:rPr>
          <w:color w:val="000000"/>
        </w:rPr>
        <w:t>,</w:t>
      </w:r>
      <w:r>
        <w:rPr>
          <w:color w:val="000000"/>
        </w:rPr>
        <w:t xml:space="preserve"> directors and managers who are responsible for corporate misconduct personally liable for their actions</w:t>
      </w:r>
      <w:r w:rsidR="006A227C">
        <w:rPr>
          <w:color w:val="000000"/>
        </w:rPr>
        <w:t xml:space="preserve">.  </w:t>
      </w:r>
      <w:r>
        <w:rPr>
          <w:color w:val="000000"/>
        </w:rPr>
        <w:t xml:space="preserve">Judge </w:t>
      </w:r>
      <w:r w:rsidR="00E82FD6">
        <w:rPr>
          <w:color w:val="000000"/>
        </w:rPr>
        <w:t>Wains</w:t>
      </w:r>
      <w:r>
        <w:rPr>
          <w:color w:val="000000"/>
        </w:rPr>
        <w:t xml:space="preserve"> did not review on a state-by-state basis the various state laws applicable to these objector claims</w:t>
      </w:r>
      <w:r w:rsidR="008B54D4">
        <w:rPr>
          <w:color w:val="000000"/>
        </w:rPr>
        <w:t>,</w:t>
      </w:r>
      <w:r>
        <w:rPr>
          <w:color w:val="000000"/>
        </w:rPr>
        <w:t xml:space="preserve"> including laws that might forbid insurance coverage or indemnification and contribution claims by those individuals</w:t>
      </w:r>
      <w:r w:rsidR="008B54D4">
        <w:rPr>
          <w:color w:val="000000"/>
        </w:rPr>
        <w:t>,</w:t>
      </w:r>
      <w:r>
        <w:rPr>
          <w:color w:val="000000"/>
        </w:rPr>
        <w:t xml:space="preserve"> such that their personal assets are very much at risk</w:t>
      </w:r>
      <w:r w:rsidR="006A227C">
        <w:rPr>
          <w:color w:val="000000"/>
        </w:rPr>
        <w:t xml:space="preserve">.  </w:t>
      </w:r>
      <w:r w:rsidR="00FD7892">
        <w:rPr>
          <w:i/>
          <w:iCs/>
          <w:color w:val="000000"/>
        </w:rPr>
        <w:t xml:space="preserve">Id. </w:t>
      </w:r>
      <w:r>
        <w:rPr>
          <w:color w:val="000000"/>
        </w:rPr>
        <w:t>at *48.</w:t>
      </w:r>
    </w:p>
    <w:p w14:paraId="14D736AF" w14:textId="43C94AA8" w:rsidR="00A77BBD" w:rsidRDefault="00A77BBD" w:rsidP="00A77BBD">
      <w:pPr>
        <w:pStyle w:val="BodyTextFirstIndent"/>
      </w:pPr>
      <w:r>
        <w:rPr>
          <w:color w:val="000000"/>
        </w:rPr>
        <w:t>In exchange for these releases</w:t>
      </w:r>
      <w:r w:rsidR="008B54D4">
        <w:rPr>
          <w:color w:val="000000"/>
        </w:rPr>
        <w:t>,</w:t>
      </w:r>
      <w:r>
        <w:rPr>
          <w:color w:val="000000"/>
        </w:rPr>
        <w:t xml:space="preserve"> the Shareholder Released Parties agreed to contribute $4.325 billion</w:t>
      </w:r>
      <w:r w:rsidR="00E21AF3">
        <w:rPr>
          <w:rStyle w:val="FootnoteReference"/>
          <w:color w:val="000000"/>
        </w:rPr>
        <w:footnoteReference w:id="21"/>
      </w:r>
      <w:r>
        <w:rPr>
          <w:color w:val="000000"/>
        </w:rPr>
        <w:t xml:space="preserve"> to a fund that would be used to resolve both public and private civil claims as well as both civil and criminal settlements with the federal government</w:t>
      </w:r>
      <w:r w:rsidR="006A227C">
        <w:rPr>
          <w:color w:val="000000"/>
        </w:rPr>
        <w:t xml:space="preserve">.  </w:t>
      </w:r>
      <w:r w:rsidR="00FD7892">
        <w:rPr>
          <w:i/>
          <w:iCs/>
          <w:color w:val="000000"/>
        </w:rPr>
        <w:t xml:space="preserve">Id. </w:t>
      </w:r>
      <w:r>
        <w:rPr>
          <w:color w:val="000000"/>
        </w:rPr>
        <w:t>at *25</w:t>
      </w:r>
      <w:r w:rsidR="006A227C">
        <w:rPr>
          <w:color w:val="000000"/>
        </w:rPr>
        <w:t xml:space="preserve">.  </w:t>
      </w:r>
      <w:r>
        <w:rPr>
          <w:color w:val="000000"/>
        </w:rPr>
        <w:t xml:space="preserve">The </w:t>
      </w:r>
      <w:r w:rsidR="00E82FD6">
        <w:rPr>
          <w:color w:val="000000"/>
        </w:rPr>
        <w:t>Packler</w:t>
      </w:r>
      <w:r>
        <w:rPr>
          <w:color w:val="000000"/>
        </w:rPr>
        <w:t>s also agreed to the dedication of two charities worth at least $175 million for abatement purposes; to a resolution that barred them from insisting on naming rights in exchange for charitable contributions; to refrain from engaging in any business with NewCo and to dispose of their interest in the non-</w:t>
      </w:r>
      <w:r w:rsidR="002F10FB">
        <w:rPr>
          <w:color w:val="000000"/>
        </w:rPr>
        <w:t xml:space="preserve">U.S. </w:t>
      </w:r>
      <w:r w:rsidR="006239B5">
        <w:rPr>
          <w:color w:val="000000"/>
        </w:rPr>
        <w:t>Oxy</w:t>
      </w:r>
      <w:r>
        <w:rPr>
          <w:color w:val="000000"/>
        </w:rPr>
        <w:t xml:space="preserve"> entities within seven years; to certain “snap back” provisions that were designed to ensure the collectability of their settlement payments; and to the creation of an extensive document repository that would archive in a comprehensive manner the history of the Debtors and their involvement in the development</w:t>
      </w:r>
      <w:r w:rsidR="008B54D4">
        <w:rPr>
          <w:color w:val="000000"/>
        </w:rPr>
        <w:t>,</w:t>
      </w:r>
      <w:r>
        <w:rPr>
          <w:color w:val="000000"/>
        </w:rPr>
        <w:t xml:space="preserve"> production and sale of opioids</w:t>
      </w:r>
      <w:r w:rsidR="006A227C">
        <w:rPr>
          <w:color w:val="000000"/>
        </w:rPr>
        <w:t xml:space="preserve">.  </w:t>
      </w:r>
      <w:r>
        <w:rPr>
          <w:i/>
          <w:iCs/>
          <w:color w:val="000000"/>
        </w:rPr>
        <w:t>Id.</w:t>
      </w:r>
    </w:p>
    <w:p w14:paraId="1F599385" w14:textId="6AC6C40C" w:rsidR="00A77BBD" w:rsidRDefault="00A77BBD" w:rsidP="00A77BBD">
      <w:pPr>
        <w:pStyle w:val="BodyTextFirstIndent"/>
      </w:pPr>
      <w:r>
        <w:rPr>
          <w:color w:val="000000"/>
        </w:rPr>
        <w:t xml:space="preserve">Judge </w:t>
      </w:r>
      <w:r w:rsidR="00E82FD6">
        <w:rPr>
          <w:color w:val="000000"/>
        </w:rPr>
        <w:t>Wains</w:t>
      </w:r>
      <w:r>
        <w:rPr>
          <w:color w:val="000000"/>
        </w:rPr>
        <w:t xml:space="preserve"> made three fundamental findings relating to these settlements:  that the </w:t>
      </w:r>
      <w:r w:rsidR="00E82FD6">
        <w:rPr>
          <w:color w:val="000000"/>
        </w:rPr>
        <w:t>Packler</w:t>
      </w:r>
      <w:r>
        <w:rPr>
          <w:color w:val="000000"/>
        </w:rPr>
        <w:t xml:space="preserve"> Settlements were necessary to the Plan; that they were fair and reasonable; and that it was necessary and appropriate for him to approve the non-consensual release of certain third-party claims against the </w:t>
      </w:r>
      <w:r w:rsidR="00E82FD6">
        <w:rPr>
          <w:color w:val="000000"/>
        </w:rPr>
        <w:t>Packler</w:t>
      </w:r>
      <w:r>
        <w:rPr>
          <w:color w:val="000000"/>
        </w:rPr>
        <w:t>s</w:t>
      </w:r>
      <w:r w:rsidR="008B54D4">
        <w:rPr>
          <w:color w:val="000000"/>
        </w:rPr>
        <w:t>,</w:t>
      </w:r>
      <w:r>
        <w:rPr>
          <w:color w:val="000000"/>
        </w:rPr>
        <w:t xml:space="preserve"> even though they are not debtors.</w:t>
      </w:r>
    </w:p>
    <w:p w14:paraId="4A7D14C8" w14:textId="7CCA261A" w:rsidR="00A77BBD" w:rsidRDefault="00A77BBD" w:rsidP="001B4668">
      <w:pPr>
        <w:pStyle w:val="Heading3"/>
      </w:pPr>
      <w:r>
        <w:t xml:space="preserve">The </w:t>
      </w:r>
      <w:r w:rsidR="00E82FD6">
        <w:t>Packler</w:t>
      </w:r>
      <w:r>
        <w:t xml:space="preserve"> Settlements Were Necessary</w:t>
      </w:r>
    </w:p>
    <w:p w14:paraId="3B9310BA" w14:textId="719CF0EC" w:rsidR="00A77BBD" w:rsidRDefault="00A77BBD" w:rsidP="00A77BBD">
      <w:pPr>
        <w:pStyle w:val="BodyTextFirstIndent"/>
      </w:pPr>
      <w:r>
        <w:rPr>
          <w:color w:val="000000"/>
        </w:rPr>
        <w:t xml:space="preserve">Judge </w:t>
      </w:r>
      <w:r w:rsidR="00E82FD6">
        <w:rPr>
          <w:color w:val="000000"/>
        </w:rPr>
        <w:t>Wains</w:t>
      </w:r>
      <w:r>
        <w:rPr>
          <w:color w:val="000000"/>
        </w:rPr>
        <w:t xml:space="preserve"> concluded that these settlements were necessary to the Plan</w:t>
      </w:r>
      <w:r w:rsidR="006A227C">
        <w:rPr>
          <w:color w:val="000000"/>
        </w:rPr>
        <w:t xml:space="preserve">.  </w:t>
      </w:r>
      <w:r>
        <w:rPr>
          <w:color w:val="000000"/>
        </w:rPr>
        <w:t>He noted that a variety of other settlements that were essential components of the Plan - including agreed-upon allocations of the pot of money to be created by the Debtors</w:t>
      </w:r>
      <w:r w:rsidR="008B54D4">
        <w:rPr>
          <w:color w:val="000000"/>
        </w:rPr>
        <w:t>’</w:t>
      </w:r>
      <w:r>
        <w:rPr>
          <w:color w:val="000000"/>
        </w:rPr>
        <w:t xml:space="preserve"> estate and the </w:t>
      </w:r>
      <w:r w:rsidR="00E82FD6">
        <w:rPr>
          <w:color w:val="000000"/>
        </w:rPr>
        <w:t>Packler</w:t>
      </w:r>
      <w:r>
        <w:rPr>
          <w:color w:val="000000"/>
        </w:rPr>
        <w:t xml:space="preserve"> contribution - would unravel for lack of funding if the </w:t>
      </w:r>
      <w:r w:rsidR="00E82FD6">
        <w:rPr>
          <w:color w:val="000000"/>
        </w:rPr>
        <w:t>Packler</w:t>
      </w:r>
      <w:r>
        <w:rPr>
          <w:color w:val="000000"/>
        </w:rPr>
        <w:t>s did not make their $4.325 billion contribution.</w:t>
      </w:r>
    </w:p>
    <w:p w14:paraId="13F581C5" w14:textId="0A96A250" w:rsidR="00A77BBD" w:rsidRDefault="00A77BBD" w:rsidP="00A77BBD">
      <w:pPr>
        <w:pStyle w:val="BodyTextFirstIndent"/>
      </w:pPr>
      <w:r>
        <w:rPr>
          <w:color w:val="000000"/>
        </w:rPr>
        <w:t>And he found that they would not make that contribution unless they obtained broad releases from past and future liability</w:t>
      </w:r>
      <w:r w:rsidR="006A227C">
        <w:rPr>
          <w:color w:val="000000"/>
        </w:rPr>
        <w:t xml:space="preserve">.  </w:t>
      </w:r>
      <w:r w:rsidR="00FD7892">
        <w:rPr>
          <w:i/>
          <w:iCs/>
          <w:color w:val="000000"/>
        </w:rPr>
        <w:t xml:space="preserve">Id. </w:t>
      </w:r>
      <w:r>
        <w:rPr>
          <w:color w:val="000000"/>
        </w:rPr>
        <w:t>at *46-47.</w:t>
      </w:r>
    </w:p>
    <w:p w14:paraId="4C802002" w14:textId="6B0B0C98" w:rsidR="00A77BBD" w:rsidRPr="00E21AF3" w:rsidRDefault="00A77BBD" w:rsidP="00E97455">
      <w:pPr>
        <w:pStyle w:val="Heading4"/>
        <w:keepNext/>
        <w:rPr>
          <w:u w:val="single"/>
        </w:rPr>
      </w:pPr>
      <w:r w:rsidRPr="00E21AF3">
        <w:rPr>
          <w:u w:val="single"/>
        </w:rPr>
        <w:t xml:space="preserve">The </w:t>
      </w:r>
      <w:r w:rsidR="00E82FD6" w:rsidRPr="00E21AF3">
        <w:rPr>
          <w:u w:val="single"/>
        </w:rPr>
        <w:t>Packler</w:t>
      </w:r>
      <w:r w:rsidRPr="00E21AF3">
        <w:rPr>
          <w:u w:val="single"/>
        </w:rPr>
        <w:t xml:space="preserve"> Settlements Were Fair and Reasonable in Amount</w:t>
      </w:r>
    </w:p>
    <w:p w14:paraId="6A58C477" w14:textId="4655D76C" w:rsidR="00A77BBD" w:rsidRDefault="00A77BBD" w:rsidP="00A77BBD">
      <w:pPr>
        <w:pStyle w:val="BodyTextFirstIndent"/>
      </w:pPr>
      <w:r>
        <w:rPr>
          <w:color w:val="000000"/>
        </w:rPr>
        <w:t xml:space="preserve">Judge </w:t>
      </w:r>
      <w:r w:rsidR="00E82FD6">
        <w:rPr>
          <w:color w:val="000000"/>
        </w:rPr>
        <w:t>Wains</w:t>
      </w:r>
      <w:r>
        <w:rPr>
          <w:color w:val="000000"/>
        </w:rPr>
        <w:t xml:space="preserve"> evaluated the fairness of the settlement in light of the factors laid out by the Second Circuit in </w:t>
      </w:r>
      <w:r>
        <w:rPr>
          <w:i/>
          <w:iCs/>
          <w:color w:val="000000"/>
        </w:rPr>
        <w:t>Motorola Inc</w:t>
      </w:r>
      <w:r w:rsidR="006A227C">
        <w:rPr>
          <w:i/>
          <w:iCs/>
          <w:color w:val="000000"/>
        </w:rPr>
        <w:t>.</w:t>
      </w:r>
      <w:r w:rsidR="00E150C1">
        <w:rPr>
          <w:i/>
          <w:iCs/>
          <w:color w:val="000000"/>
        </w:rPr>
        <w:t xml:space="preserve"> v. </w:t>
      </w:r>
      <w:r>
        <w:rPr>
          <w:i/>
          <w:iCs/>
          <w:color w:val="000000"/>
        </w:rPr>
        <w:t>Official Committee of Unsecured Creditors &amp; JP Morgan Chase Bank</w:t>
      </w:r>
      <w:r w:rsidR="008B54D4">
        <w:rPr>
          <w:i/>
          <w:iCs/>
          <w:color w:val="000000"/>
        </w:rPr>
        <w:t>,</w:t>
      </w:r>
      <w:r>
        <w:rPr>
          <w:i/>
          <w:iCs/>
          <w:color w:val="000000"/>
        </w:rPr>
        <w:t xml:space="preserve"> N.A</w:t>
      </w:r>
      <w:r w:rsidR="006A227C">
        <w:rPr>
          <w:i/>
          <w:iCs/>
          <w:color w:val="000000"/>
        </w:rPr>
        <w:t xml:space="preserve">. </w:t>
      </w:r>
      <w:r>
        <w:rPr>
          <w:i/>
          <w:iCs/>
          <w:color w:val="000000"/>
        </w:rPr>
        <w:t>(In re Iridium Operating LLC)</w:t>
      </w:r>
      <w:r w:rsidR="008B54D4" w:rsidRPr="00E97455">
        <w:rPr>
          <w:color w:val="000000"/>
        </w:rPr>
        <w:t>,</w:t>
      </w:r>
      <w:r w:rsidRPr="00E97455">
        <w:rPr>
          <w:color w:val="000000"/>
        </w:rPr>
        <w:t xml:space="preserve"> </w:t>
      </w:r>
      <w:hyperlink r:id="rId28" w:history="1">
        <w:r>
          <w:rPr>
            <w:color w:val="000000"/>
          </w:rPr>
          <w:t xml:space="preserve">478 </w:t>
        </w:r>
        <w:r w:rsidR="000F32DE">
          <w:rPr>
            <w:color w:val="000000"/>
          </w:rPr>
          <w:t>F.</w:t>
        </w:r>
        <w:r>
          <w:rPr>
            <w:color w:val="000000"/>
          </w:rPr>
          <w:t>3d 452</w:t>
        </w:r>
        <w:r w:rsidR="008B54D4">
          <w:rPr>
            <w:color w:val="000000"/>
          </w:rPr>
          <w:t>,</w:t>
        </w:r>
        <w:r>
          <w:rPr>
            <w:color w:val="000000"/>
          </w:rPr>
          <w:t xml:space="preserve"> 464-66 </w:t>
        </w:r>
      </w:hyperlink>
      <w:r>
        <w:rPr>
          <w:color w:val="000000"/>
        </w:rPr>
        <w:t>(2d Cir</w:t>
      </w:r>
      <w:r w:rsidR="006A227C">
        <w:rPr>
          <w:color w:val="000000"/>
        </w:rPr>
        <w:t xml:space="preserve">. </w:t>
      </w:r>
      <w:r>
        <w:rPr>
          <w:color w:val="000000"/>
        </w:rPr>
        <w:t>2007)</w:t>
      </w:r>
      <w:r w:rsidR="008B54D4">
        <w:rPr>
          <w:color w:val="000000"/>
        </w:rPr>
        <w:t>,</w:t>
      </w:r>
      <w:r>
        <w:rPr>
          <w:color w:val="000000"/>
        </w:rPr>
        <w:t xml:space="preserve"> which is controlling law in this Circuit on the questions</w:t>
      </w:r>
      <w:r w:rsidR="006A227C">
        <w:rPr>
          <w:color w:val="000000"/>
        </w:rPr>
        <w:t xml:space="preserve">.  </w:t>
      </w:r>
      <w:r>
        <w:rPr>
          <w:color w:val="000000"/>
        </w:rPr>
        <w:t>He made the following findings:</w:t>
      </w:r>
      <w:r>
        <w:rPr>
          <w:rStyle w:val="FootnoteReference"/>
          <w:rFonts w:eastAsia="Times New Roman" w:cs="Times New Roman"/>
          <w:color w:val="000000"/>
          <w:vertAlign w:val="superscript"/>
        </w:rPr>
        <w:footnoteReference w:id="22"/>
      </w:r>
    </w:p>
    <w:p w14:paraId="6A75FDF7" w14:textId="2B91C7B9" w:rsidR="00A77BBD" w:rsidRDefault="00A77BBD" w:rsidP="00A77BBD">
      <w:pPr>
        <w:pStyle w:val="BodyTextFirstIndent"/>
      </w:pPr>
      <w:r>
        <w:rPr>
          <w:color w:val="000000"/>
        </w:rPr>
        <w:t>(a)</w:t>
      </w:r>
      <w:r>
        <w:rPr>
          <w:color w:val="000000"/>
        </w:rPr>
        <w:tab/>
        <w:t xml:space="preserve">The </w:t>
      </w:r>
      <w:r w:rsidR="00E82FD6">
        <w:rPr>
          <w:color w:val="000000"/>
        </w:rPr>
        <w:t>Packler</w:t>
      </w:r>
      <w:r>
        <w:rPr>
          <w:color w:val="000000"/>
        </w:rPr>
        <w:t xml:space="preserve"> settlements were the product of arms-length bargaining conducted by able counsel in two separate mediations presided over by three outstanding mediators and preceded by what he described as the “most extensive discovery process not only I have seen after practicing bankruptcy law since 1984 and being on the bench since 2002</w:t>
      </w:r>
      <w:r w:rsidR="008B54D4">
        <w:rPr>
          <w:color w:val="000000"/>
        </w:rPr>
        <w:t>,</w:t>
      </w:r>
      <w:r>
        <w:rPr>
          <w:color w:val="000000"/>
        </w:rPr>
        <w:t xml:space="preserve"> but I believe any court in bankruptcy has ever seen</w:t>
      </w:r>
      <w:r w:rsidR="00FA79C1">
        <w:rPr>
          <w:color w:val="000000"/>
        </w:rPr>
        <w:t xml:space="preserve">.”  </w:t>
      </w:r>
      <w:r>
        <w:rPr>
          <w:color w:val="000000"/>
        </w:rPr>
        <w:t>That process led to the production of almost 100 million pages of documents</w:t>
      </w:r>
      <w:r w:rsidR="008B54D4">
        <w:rPr>
          <w:color w:val="000000"/>
        </w:rPr>
        <w:t>,</w:t>
      </w:r>
      <w:r>
        <w:rPr>
          <w:color w:val="000000"/>
        </w:rPr>
        <w:t xml:space="preserve"> through which all interested parties could learn “anything suggesting a claim against the shareholder released parties</w:t>
      </w:r>
      <w:r w:rsidR="00FA79C1">
        <w:rPr>
          <w:color w:val="000000"/>
        </w:rPr>
        <w:t xml:space="preserve">.”  </w:t>
      </w:r>
    </w:p>
    <w:p w14:paraId="4B9CECC8" w14:textId="12A7C4CC" w:rsidR="00A77BBD" w:rsidRDefault="00A77BBD" w:rsidP="00A77BBD">
      <w:pPr>
        <w:pStyle w:val="BodyTextFirstIndent"/>
      </w:pPr>
      <w:r>
        <w:rPr>
          <w:color w:val="000000"/>
        </w:rPr>
        <w:t>(b)</w:t>
      </w:r>
      <w:r>
        <w:rPr>
          <w:color w:val="000000"/>
        </w:rPr>
        <w:tab/>
        <w:t>The settlements were negotiated by exceedingly competent counsel who were</w:t>
      </w:r>
      <w:r w:rsidR="008B54D4">
        <w:rPr>
          <w:color w:val="000000"/>
        </w:rPr>
        <w:t>,</w:t>
      </w:r>
      <w:r>
        <w:rPr>
          <w:color w:val="000000"/>
        </w:rPr>
        <w:t xml:space="preserve"> as a result of the discovery process described above</w:t>
      </w:r>
      <w:r w:rsidR="008B54D4">
        <w:rPr>
          <w:color w:val="000000"/>
        </w:rPr>
        <w:t>,</w:t>
      </w:r>
      <w:r>
        <w:rPr>
          <w:color w:val="000000"/>
        </w:rPr>
        <w:t xml:space="preserve"> well-informed about both the claims they might bring against the Shareholder Released Parties and the difficulties they would have in pursuing those claims</w:t>
      </w:r>
      <w:r w:rsidR="006A227C">
        <w:rPr>
          <w:color w:val="000000"/>
        </w:rPr>
        <w:t xml:space="preserve">.  </w:t>
      </w:r>
    </w:p>
    <w:p w14:paraId="5E349EC1" w14:textId="155C5D81" w:rsidR="00A77BBD" w:rsidRDefault="00A77BBD" w:rsidP="00A77BBD">
      <w:pPr>
        <w:pStyle w:val="BodyTextFirstIndent"/>
      </w:pPr>
      <w:r>
        <w:rPr>
          <w:color w:val="000000"/>
        </w:rPr>
        <w:t>(c)</w:t>
      </w:r>
      <w:r>
        <w:rPr>
          <w:color w:val="000000"/>
        </w:rPr>
        <w:tab/>
      </w:r>
      <w:r w:rsidR="006239B5">
        <w:rPr>
          <w:color w:val="000000"/>
        </w:rPr>
        <w:t>Oxy</w:t>
      </w:r>
      <w:r w:rsidR="008B54D4">
        <w:rPr>
          <w:color w:val="000000"/>
        </w:rPr>
        <w:t>’</w:t>
      </w:r>
      <w:r>
        <w:rPr>
          <w:color w:val="000000"/>
        </w:rPr>
        <w:t>s creditors overwhelmingly supported the settlement</w:t>
      </w:r>
      <w:r w:rsidR="006A227C">
        <w:rPr>
          <w:color w:val="000000"/>
        </w:rPr>
        <w:t xml:space="preserve">.  </w:t>
      </w:r>
      <w:r>
        <w:rPr>
          <w:color w:val="000000"/>
        </w:rPr>
        <w:t>Some 120</w:t>
      </w:r>
      <w:r w:rsidR="008B54D4">
        <w:rPr>
          <w:color w:val="000000"/>
        </w:rPr>
        <w:t>,</w:t>
      </w:r>
      <w:r>
        <w:rPr>
          <w:color w:val="000000"/>
        </w:rPr>
        <w:t>000 votes were cast on the Plan - a number far exceeding the voting in any other bankruptcy case</w:t>
      </w:r>
      <w:r w:rsidR="006A227C">
        <w:rPr>
          <w:color w:val="000000"/>
        </w:rPr>
        <w:t xml:space="preserve">.  </w:t>
      </w:r>
      <w:r>
        <w:rPr>
          <w:color w:val="000000"/>
        </w:rPr>
        <w:t>Over 95% of those voting in the aggregate favored the Plan:  over 79% of the states and territories supported the Plan; over 96% of other governmental entities and tribes; and over 96% of the personal injury claimants; together with a supermajority of all other claimants</w:t>
      </w:r>
      <w:r w:rsidR="006A227C">
        <w:rPr>
          <w:color w:val="000000"/>
        </w:rPr>
        <w:t xml:space="preserve">.  </w:t>
      </w:r>
    </w:p>
    <w:p w14:paraId="23BB33BF" w14:textId="137BE725" w:rsidR="00A77BBD" w:rsidRDefault="00A77BBD" w:rsidP="00A77BBD">
      <w:pPr>
        <w:pStyle w:val="BodyTextFirstIndent"/>
      </w:pPr>
      <w:r>
        <w:rPr>
          <w:color w:val="000000"/>
        </w:rPr>
        <w:t>(d)</w:t>
      </w:r>
      <w:r>
        <w:rPr>
          <w:color w:val="000000"/>
        </w:rPr>
        <w:tab/>
        <w:t>The failure to approve the settlement was likely to result in complex and protracted litigation</w:t>
      </w:r>
      <w:r w:rsidR="008B54D4">
        <w:rPr>
          <w:color w:val="000000"/>
        </w:rPr>
        <w:t>,</w:t>
      </w:r>
      <w:r>
        <w:rPr>
          <w:color w:val="000000"/>
        </w:rPr>
        <w:t xml:space="preserve"> with attendant cost and delay</w:t>
      </w:r>
      <w:r w:rsidR="008B54D4">
        <w:rPr>
          <w:color w:val="000000"/>
        </w:rPr>
        <w:t>,</w:t>
      </w:r>
      <w:r>
        <w:rPr>
          <w:color w:val="000000"/>
        </w:rPr>
        <w:t xml:space="preserve"> while the settlement offered significant and immediate benefits to the estate and its creditors</w:t>
      </w:r>
      <w:r w:rsidR="006A227C">
        <w:rPr>
          <w:color w:val="000000"/>
        </w:rPr>
        <w:t xml:space="preserve">.  </w:t>
      </w:r>
    </w:p>
    <w:p w14:paraId="5FBCF3DC" w14:textId="135F42A6" w:rsidR="00A77BBD" w:rsidRDefault="00A77BBD" w:rsidP="00A77BBD">
      <w:pPr>
        <w:pStyle w:val="BodyTextFirstIndent"/>
      </w:pPr>
      <w:r>
        <w:rPr>
          <w:color w:val="000000"/>
        </w:rPr>
        <w:t>(e)</w:t>
      </w:r>
      <w:r>
        <w:rPr>
          <w:color w:val="000000"/>
        </w:rPr>
        <w:tab/>
        <w:t xml:space="preserve">Judge </w:t>
      </w:r>
      <w:r w:rsidR="00E82FD6">
        <w:rPr>
          <w:color w:val="000000"/>
        </w:rPr>
        <w:t>Wains</w:t>
      </w:r>
      <w:r>
        <w:rPr>
          <w:color w:val="000000"/>
        </w:rPr>
        <w:t xml:space="preserve"> focused particularly on the difficulty of collecting any judgments that might be obtained against the </w:t>
      </w:r>
      <w:r w:rsidR="00E82FD6">
        <w:rPr>
          <w:color w:val="000000"/>
        </w:rPr>
        <w:t>Packler</w:t>
      </w:r>
      <w:r>
        <w:rPr>
          <w:color w:val="000000"/>
        </w:rPr>
        <w:t>s</w:t>
      </w:r>
      <w:r w:rsidR="006A227C">
        <w:rPr>
          <w:color w:val="000000"/>
        </w:rPr>
        <w:t xml:space="preserve">.  </w:t>
      </w:r>
      <w:r>
        <w:rPr>
          <w:color w:val="000000"/>
        </w:rPr>
        <w:t>Ordinarily this factor would rest on things like the paucity of assets available to satisfy judgments</w:t>
      </w:r>
      <w:r w:rsidR="006A227C">
        <w:rPr>
          <w:color w:val="000000"/>
        </w:rPr>
        <w:t xml:space="preserve">.  </w:t>
      </w:r>
      <w:r>
        <w:rPr>
          <w:color w:val="000000"/>
        </w:rPr>
        <w:t xml:space="preserve">But in this case the problems with collection were the result of what the </w:t>
      </w:r>
      <w:r w:rsidR="00E82FD6">
        <w:rPr>
          <w:color w:val="000000"/>
        </w:rPr>
        <w:t>Packler</w:t>
      </w:r>
      <w:r>
        <w:rPr>
          <w:color w:val="000000"/>
        </w:rPr>
        <w:t>s did with the money that they admittedly took out of the corporations between 2008-2016</w:t>
      </w:r>
      <w:r w:rsidR="006A227C">
        <w:rPr>
          <w:color w:val="000000"/>
        </w:rPr>
        <w:t xml:space="preserve">.  </w:t>
      </w:r>
      <w:r>
        <w:rPr>
          <w:color w:val="000000"/>
        </w:rPr>
        <w:t>The assets of family members are held principally in purportedly spendthrift trusts located in the United States and offshore - many of them on the Bailiwick of Jersey - and many of those assets cannot readily be liquidated</w:t>
      </w:r>
      <w:r w:rsidR="006A227C">
        <w:rPr>
          <w:color w:val="000000"/>
        </w:rPr>
        <w:t xml:space="preserve">.  </w:t>
      </w:r>
      <w:r>
        <w:rPr>
          <w:color w:val="000000"/>
        </w:rPr>
        <w:t xml:space="preserve">As Judge </w:t>
      </w:r>
      <w:r w:rsidR="00E82FD6">
        <w:rPr>
          <w:color w:val="000000"/>
        </w:rPr>
        <w:t>Wains</w:t>
      </w:r>
      <w:r>
        <w:rPr>
          <w:color w:val="000000"/>
        </w:rPr>
        <w:t xml:space="preserve"> correctly observed</w:t>
      </w:r>
      <w:r w:rsidR="008B54D4">
        <w:rPr>
          <w:color w:val="000000"/>
        </w:rPr>
        <w:t>,</w:t>
      </w:r>
      <w:r>
        <w:rPr>
          <w:color w:val="000000"/>
        </w:rPr>
        <w:t xml:space="preserve"> spendthrift trusts can and often do insulate assets from the bankruptcy process</w:t>
      </w:r>
      <w:r w:rsidR="006A227C">
        <w:rPr>
          <w:color w:val="000000"/>
        </w:rPr>
        <w:t xml:space="preserve">.  </w:t>
      </w:r>
      <w:r>
        <w:rPr>
          <w:color w:val="000000"/>
        </w:rPr>
        <w:t xml:space="preserve">And while generally applicable law governing </w:t>
      </w:r>
      <w:r w:rsidR="002F10FB">
        <w:rPr>
          <w:color w:val="000000"/>
        </w:rPr>
        <w:t xml:space="preserve">U.S. </w:t>
      </w:r>
      <w:r>
        <w:rPr>
          <w:color w:val="000000"/>
        </w:rPr>
        <w:t>trusts allows those trusts to be invaded when they are funded by fraudulent conveyances</w:t>
      </w:r>
      <w:r w:rsidR="008B54D4">
        <w:rPr>
          <w:color w:val="000000"/>
        </w:rPr>
        <w:t>,</w:t>
      </w:r>
      <w:r>
        <w:rPr>
          <w:color w:val="000000"/>
        </w:rPr>
        <w:t xml:space="preserve"> there is a substantial question whether the same is true under Jersey law</w:t>
      </w:r>
      <w:r w:rsidR="006A227C">
        <w:rPr>
          <w:color w:val="000000"/>
        </w:rPr>
        <w:t xml:space="preserve">.  </w:t>
      </w:r>
      <w:r>
        <w:rPr>
          <w:color w:val="000000"/>
        </w:rPr>
        <w:t>Additionally</w:t>
      </w:r>
      <w:r w:rsidR="008B54D4">
        <w:rPr>
          <w:color w:val="000000"/>
        </w:rPr>
        <w:t>,</w:t>
      </w:r>
      <w:r>
        <w:rPr>
          <w:color w:val="000000"/>
        </w:rPr>
        <w:t xml:space="preserve"> he noted that many </w:t>
      </w:r>
      <w:r w:rsidR="00E82FD6">
        <w:rPr>
          <w:color w:val="000000"/>
        </w:rPr>
        <w:t>Packler</w:t>
      </w:r>
      <w:r>
        <w:rPr>
          <w:color w:val="000000"/>
        </w:rPr>
        <w:t xml:space="preserve"> family members live abroad</w:t>
      </w:r>
      <w:r w:rsidR="008B54D4">
        <w:rPr>
          <w:color w:val="000000"/>
        </w:rPr>
        <w:t>,</w:t>
      </w:r>
      <w:r>
        <w:rPr>
          <w:color w:val="000000"/>
        </w:rPr>
        <w:t xml:space="preserve"> raising a barrier to an American court</w:t>
      </w:r>
      <w:r w:rsidR="008B54D4">
        <w:rPr>
          <w:color w:val="000000"/>
        </w:rPr>
        <w:t>’</w:t>
      </w:r>
      <w:r>
        <w:rPr>
          <w:color w:val="000000"/>
        </w:rPr>
        <w:t>s acquiring personal jurisdiction over them</w:t>
      </w:r>
      <w:r w:rsidR="006A227C">
        <w:rPr>
          <w:color w:val="000000"/>
        </w:rPr>
        <w:t xml:space="preserve">.  </w:t>
      </w:r>
      <w:r>
        <w:rPr>
          <w:color w:val="000000"/>
        </w:rPr>
        <w:t>Although the learned bankruptcy judge did not reach any final conclusion about these complicated issues</w:t>
      </w:r>
      <w:r w:rsidR="008B54D4">
        <w:rPr>
          <w:color w:val="000000"/>
        </w:rPr>
        <w:t>,</w:t>
      </w:r>
      <w:r>
        <w:rPr>
          <w:color w:val="000000"/>
        </w:rPr>
        <w:t xml:space="preserve"> he readily drew the conclusion that collectability presented a significant concern</w:t>
      </w:r>
      <w:r w:rsidR="008B54D4">
        <w:rPr>
          <w:color w:val="000000"/>
        </w:rPr>
        <w:t>,</w:t>
      </w:r>
      <w:r>
        <w:rPr>
          <w:color w:val="000000"/>
        </w:rPr>
        <w:t xml:space="preserve"> one that was obviated by the settlement.</w:t>
      </w:r>
    </w:p>
    <w:p w14:paraId="6EE43814" w14:textId="5198754E" w:rsidR="00A77BBD" w:rsidRDefault="00A77BBD" w:rsidP="00A77BBD">
      <w:pPr>
        <w:pStyle w:val="BodyTextFirstIndent"/>
      </w:pPr>
      <w:r>
        <w:rPr>
          <w:color w:val="000000"/>
        </w:rPr>
        <w:t>(f)</w:t>
      </w:r>
      <w:r>
        <w:rPr>
          <w:color w:val="000000"/>
        </w:rPr>
        <w:tab/>
        <w:t xml:space="preserve">Judge </w:t>
      </w:r>
      <w:r w:rsidR="00E82FD6">
        <w:rPr>
          <w:color w:val="000000"/>
        </w:rPr>
        <w:t>Wains</w:t>
      </w:r>
      <w:r>
        <w:rPr>
          <w:color w:val="000000"/>
        </w:rPr>
        <w:t xml:space="preserve"> also noted that the cost and delay attendant to the pursuit of the </w:t>
      </w:r>
      <w:r w:rsidR="00E82FD6">
        <w:rPr>
          <w:color w:val="000000"/>
        </w:rPr>
        <w:t>Packler</w:t>
      </w:r>
      <w:r>
        <w:rPr>
          <w:color w:val="000000"/>
        </w:rPr>
        <w:t>s - which was in and of itself substantial - would be compounded by the unraveling of the other settlements that were baked into the Plan</w:t>
      </w:r>
      <w:r w:rsidR="006A227C">
        <w:rPr>
          <w:color w:val="000000"/>
        </w:rPr>
        <w:t xml:space="preserve">.  </w:t>
      </w:r>
      <w:r>
        <w:rPr>
          <w:color w:val="000000"/>
        </w:rPr>
        <w:t xml:space="preserve">Judge </w:t>
      </w:r>
      <w:r w:rsidR="00E82FD6">
        <w:rPr>
          <w:color w:val="000000"/>
        </w:rPr>
        <w:t>Wains</w:t>
      </w:r>
      <w:r>
        <w:rPr>
          <w:color w:val="000000"/>
        </w:rPr>
        <w:t xml:space="preserve"> concluded that the unraveling of the Plan would inevitably result in the liquidation of Debtors under Chapter 7</w:t>
      </w:r>
      <w:r w:rsidR="008B54D4">
        <w:rPr>
          <w:color w:val="000000"/>
        </w:rPr>
        <w:t>,</w:t>
      </w:r>
      <w:r>
        <w:rPr>
          <w:color w:val="000000"/>
        </w:rPr>
        <w:t xml:space="preserve"> which would in turn lead to no recovery for the unsecured creditors (including the personal injury plaintiffs)</w:t>
      </w:r>
      <w:r w:rsidR="008B54D4">
        <w:rPr>
          <w:color w:val="000000"/>
        </w:rPr>
        <w:t>,</w:t>
      </w:r>
      <w:r>
        <w:rPr>
          <w:color w:val="000000"/>
        </w:rPr>
        <w:t xml:space="preserve"> and no money for any abatement programs</w:t>
      </w:r>
      <w:r w:rsidR="006A227C">
        <w:rPr>
          <w:color w:val="000000"/>
        </w:rPr>
        <w:t xml:space="preserve">.  </w:t>
      </w:r>
      <w:r>
        <w:rPr>
          <w:color w:val="000000"/>
        </w:rPr>
        <w:t>This conclusion was reinforced by the fact that</w:t>
      </w:r>
      <w:r w:rsidR="008B54D4">
        <w:rPr>
          <w:color w:val="000000"/>
        </w:rPr>
        <w:t>,</w:t>
      </w:r>
      <w:r>
        <w:rPr>
          <w:color w:val="000000"/>
        </w:rPr>
        <w:t xml:space="preserve"> absent confirmation of the Plan</w:t>
      </w:r>
      <w:r w:rsidR="008B54D4">
        <w:rPr>
          <w:color w:val="000000"/>
        </w:rPr>
        <w:t>,</w:t>
      </w:r>
      <w:r>
        <w:rPr>
          <w:color w:val="000000"/>
        </w:rPr>
        <w:t xml:space="preserve"> the United States would have a superpriority administrative expense claim in an amount ($2 billion) that would wipe out the value of </w:t>
      </w:r>
      <w:r w:rsidR="006239B5">
        <w:rPr>
          <w:color w:val="000000"/>
        </w:rPr>
        <w:t>Oxy</w:t>
      </w:r>
      <w:r w:rsidR="008B54D4">
        <w:rPr>
          <w:color w:val="000000"/>
        </w:rPr>
        <w:t>’</w:t>
      </w:r>
      <w:r>
        <w:rPr>
          <w:color w:val="000000"/>
        </w:rPr>
        <w:t>s business as a going concern ($1.8 billion)</w:t>
      </w:r>
      <w:r w:rsidR="006A227C">
        <w:rPr>
          <w:color w:val="000000"/>
        </w:rPr>
        <w:t xml:space="preserve">.  </w:t>
      </w:r>
    </w:p>
    <w:p w14:paraId="44484C74" w14:textId="60D9081A" w:rsidR="00A77BBD" w:rsidRDefault="00A77BBD" w:rsidP="00A77BBD">
      <w:pPr>
        <w:pStyle w:val="BodyTextFirstIndent"/>
      </w:pPr>
      <w:r>
        <w:rPr>
          <w:color w:val="000000"/>
        </w:rPr>
        <w:t>(g)</w:t>
      </w:r>
      <w:r>
        <w:rPr>
          <w:color w:val="000000"/>
        </w:rPr>
        <w:tab/>
        <w:t>Finally</w:t>
      </w:r>
      <w:r w:rsidR="008B54D4">
        <w:rPr>
          <w:color w:val="000000"/>
        </w:rPr>
        <w:t>,</w:t>
      </w:r>
      <w:r>
        <w:rPr>
          <w:color w:val="000000"/>
        </w:rPr>
        <w:t xml:space="preserve"> Judge </w:t>
      </w:r>
      <w:r w:rsidR="00E82FD6">
        <w:rPr>
          <w:color w:val="000000"/>
        </w:rPr>
        <w:t>Wains</w:t>
      </w:r>
      <w:r>
        <w:rPr>
          <w:color w:val="000000"/>
        </w:rPr>
        <w:t xml:space="preserve"> considered the legal risks of the estates</w:t>
      </w:r>
      <w:r w:rsidR="008B54D4">
        <w:rPr>
          <w:color w:val="000000"/>
        </w:rPr>
        <w:t>’</w:t>
      </w:r>
      <w:r>
        <w:rPr>
          <w:color w:val="000000"/>
        </w:rPr>
        <w:t xml:space="preserve"> pursuit of claims against the </w:t>
      </w:r>
      <w:r w:rsidR="00E82FD6">
        <w:rPr>
          <w:color w:val="000000"/>
        </w:rPr>
        <w:t>Packler</w:t>
      </w:r>
      <w:r>
        <w:rPr>
          <w:color w:val="000000"/>
        </w:rPr>
        <w:t>s against the benefits of settlement</w:t>
      </w:r>
      <w:r w:rsidR="006A227C">
        <w:rPr>
          <w:color w:val="000000"/>
        </w:rPr>
        <w:t xml:space="preserve">.  </w:t>
      </w:r>
    </w:p>
    <w:p w14:paraId="24A9DB47" w14:textId="46706056" w:rsidR="00A77BBD" w:rsidRDefault="00A77BBD" w:rsidP="00A77BBD">
      <w:pPr>
        <w:pStyle w:val="BodyTextFirstIndent"/>
      </w:pPr>
      <w:r>
        <w:rPr>
          <w:color w:val="000000"/>
        </w:rPr>
        <w:t xml:space="preserve">Judge </w:t>
      </w:r>
      <w:r w:rsidR="00E82FD6">
        <w:rPr>
          <w:color w:val="000000"/>
        </w:rPr>
        <w:t>Wains</w:t>
      </w:r>
      <w:r>
        <w:rPr>
          <w:color w:val="000000"/>
        </w:rPr>
        <w:t xml:space="preserve"> first chronicled the problems </w:t>
      </w:r>
      <w:r w:rsidR="006239B5">
        <w:rPr>
          <w:color w:val="000000"/>
        </w:rPr>
        <w:t>Oxy</w:t>
      </w:r>
      <w:r>
        <w:rPr>
          <w:color w:val="000000"/>
        </w:rPr>
        <w:t xml:space="preserve"> would have in proving that the admitted conveyances qualified as fraudulent</w:t>
      </w:r>
      <w:r w:rsidR="006A227C">
        <w:rPr>
          <w:color w:val="000000"/>
        </w:rPr>
        <w:t xml:space="preserve">.  </w:t>
      </w:r>
      <w:r>
        <w:rPr>
          <w:color w:val="000000"/>
        </w:rPr>
        <w:t xml:space="preserve">He noted that over 40% of the purportedly avoidable transfers were used to pay federal and states taxes associated with </w:t>
      </w:r>
      <w:r w:rsidR="006239B5">
        <w:rPr>
          <w:color w:val="000000"/>
        </w:rPr>
        <w:t>Oxy</w:t>
      </w:r>
      <w:r w:rsidR="008B54D4">
        <w:rPr>
          <w:color w:val="000000"/>
        </w:rPr>
        <w:t>,</w:t>
      </w:r>
      <w:r>
        <w:rPr>
          <w:color w:val="000000"/>
        </w:rPr>
        <w:t xml:space="preserve"> none of which was going to be refunded</w:t>
      </w:r>
      <w:r w:rsidR="006A227C">
        <w:rPr>
          <w:color w:val="000000"/>
        </w:rPr>
        <w:t xml:space="preserve">.  </w:t>
      </w:r>
      <w:r>
        <w:rPr>
          <w:color w:val="000000"/>
        </w:rPr>
        <w:t xml:space="preserve">He identified various technical defenses that the </w:t>
      </w:r>
      <w:r w:rsidR="00E82FD6">
        <w:rPr>
          <w:color w:val="000000"/>
        </w:rPr>
        <w:t>Packler</w:t>
      </w:r>
      <w:r>
        <w:rPr>
          <w:color w:val="000000"/>
        </w:rPr>
        <w:t>s could assert to fraudulent conveyance claims</w:t>
      </w:r>
      <w:r w:rsidR="008B54D4">
        <w:rPr>
          <w:color w:val="000000"/>
        </w:rPr>
        <w:t>,</w:t>
      </w:r>
      <w:r>
        <w:rPr>
          <w:color w:val="000000"/>
        </w:rPr>
        <w:t xml:space="preserve"> including statutes of limitations and the impact of prior settlements</w:t>
      </w:r>
      <w:r w:rsidR="00E21AF3">
        <w:rPr>
          <w:color w:val="000000"/>
        </w:rPr>
        <w:t xml:space="preserve">. </w:t>
      </w:r>
      <w:r>
        <w:rPr>
          <w:color w:val="000000"/>
        </w:rPr>
        <w:t xml:space="preserve">And while admitting that at least some of the </w:t>
      </w:r>
      <w:r w:rsidR="00E82FD6">
        <w:rPr>
          <w:color w:val="000000"/>
        </w:rPr>
        <w:t>Packler</w:t>
      </w:r>
      <w:r>
        <w:rPr>
          <w:color w:val="000000"/>
        </w:rPr>
        <w:t xml:space="preserve">s appeared to have been very much aware of the risk of opioid litigation to </w:t>
      </w:r>
      <w:r w:rsidR="006239B5">
        <w:rPr>
          <w:color w:val="000000"/>
        </w:rPr>
        <w:t>Oxy</w:t>
      </w:r>
      <w:r w:rsidR="008B54D4">
        <w:rPr>
          <w:color w:val="000000"/>
        </w:rPr>
        <w:t>’</w:t>
      </w:r>
      <w:r>
        <w:rPr>
          <w:color w:val="000000"/>
        </w:rPr>
        <w:t>s solvency and their own</w:t>
      </w:r>
      <w:r w:rsidR="008B54D4">
        <w:rPr>
          <w:color w:val="000000"/>
        </w:rPr>
        <w:t>,</w:t>
      </w:r>
      <w:r>
        <w:rPr>
          <w:color w:val="000000"/>
        </w:rPr>
        <w:t xml:space="preserve"> he also pointed to evidence that </w:t>
      </w:r>
      <w:r w:rsidR="006239B5">
        <w:rPr>
          <w:color w:val="000000"/>
        </w:rPr>
        <w:t>Oxy</w:t>
      </w:r>
      <w:r>
        <w:rPr>
          <w:color w:val="000000"/>
        </w:rPr>
        <w:t xml:space="preserve"> may not have been “insolvent</w:t>
      </w:r>
      <w:r w:rsidR="008B54D4">
        <w:rPr>
          <w:color w:val="000000"/>
        </w:rPr>
        <w:t>,</w:t>
      </w:r>
      <w:r>
        <w:rPr>
          <w:color w:val="000000"/>
        </w:rPr>
        <w:t xml:space="preserve"> unable to pay its debts when due</w:t>
      </w:r>
      <w:r w:rsidR="008B54D4">
        <w:rPr>
          <w:color w:val="000000"/>
        </w:rPr>
        <w:t>,</w:t>
      </w:r>
      <w:r>
        <w:rPr>
          <w:color w:val="000000"/>
        </w:rPr>
        <w:t xml:space="preserve"> or left with unreasonably small capital” - which would be necessary to make a conveyance fraudulent - until as late as 2017 or 2018</w:t>
      </w:r>
      <w:r w:rsidR="008B54D4">
        <w:rPr>
          <w:color w:val="000000"/>
        </w:rPr>
        <w:t>,</w:t>
      </w:r>
      <w:r>
        <w:rPr>
          <w:color w:val="000000"/>
        </w:rPr>
        <w:t xml:space="preserve"> by which time most or all of the conveyances had been made</w:t>
      </w:r>
      <w:r w:rsidR="006A227C">
        <w:rPr>
          <w:color w:val="000000"/>
        </w:rPr>
        <w:t xml:space="preserve">.  </w:t>
      </w:r>
    </w:p>
    <w:p w14:paraId="234E042B" w14:textId="29038603" w:rsidR="00A77BBD" w:rsidRDefault="00A77BBD" w:rsidP="00A77BBD">
      <w:pPr>
        <w:pStyle w:val="BodyTextFirstIndent"/>
      </w:pPr>
      <w:r>
        <w:rPr>
          <w:color w:val="000000"/>
        </w:rPr>
        <w:t>As for alter ego</w:t>
      </w:r>
      <w:r w:rsidR="008B54D4">
        <w:rPr>
          <w:color w:val="000000"/>
        </w:rPr>
        <w:t>,</w:t>
      </w:r>
      <w:r>
        <w:rPr>
          <w:color w:val="000000"/>
        </w:rPr>
        <w:t xml:space="preserve"> veil-piercing and breach of fiduciary duty claims</w:t>
      </w:r>
      <w:r w:rsidR="008B54D4">
        <w:rPr>
          <w:color w:val="000000"/>
        </w:rPr>
        <w:t>,</w:t>
      </w:r>
      <w:r>
        <w:rPr>
          <w:color w:val="000000"/>
        </w:rPr>
        <w:t xml:space="preserve"> Judge </w:t>
      </w:r>
      <w:r w:rsidR="00E82FD6">
        <w:rPr>
          <w:color w:val="000000"/>
        </w:rPr>
        <w:t>Wains</w:t>
      </w:r>
      <w:r>
        <w:rPr>
          <w:color w:val="000000"/>
        </w:rPr>
        <w:t xml:space="preserve"> noted that most of the </w:t>
      </w:r>
      <w:r w:rsidR="00E82FD6">
        <w:rPr>
          <w:color w:val="000000"/>
        </w:rPr>
        <w:t>Packler</w:t>
      </w:r>
      <w:r>
        <w:rPr>
          <w:color w:val="000000"/>
        </w:rPr>
        <w:t xml:space="preserve"> family members had nothing to do with </w:t>
      </w:r>
      <w:r w:rsidR="006239B5">
        <w:rPr>
          <w:color w:val="000000"/>
        </w:rPr>
        <w:t>Oxy</w:t>
      </w:r>
      <w:r w:rsidR="008B54D4">
        <w:rPr>
          <w:color w:val="000000"/>
        </w:rPr>
        <w:t>’</w:t>
      </w:r>
      <w:r>
        <w:rPr>
          <w:color w:val="000000"/>
        </w:rPr>
        <w:t>s operations</w:t>
      </w:r>
      <w:r w:rsidR="008B54D4">
        <w:rPr>
          <w:color w:val="000000"/>
        </w:rPr>
        <w:t>,</w:t>
      </w:r>
      <w:r>
        <w:rPr>
          <w:color w:val="000000"/>
        </w:rPr>
        <w:t xml:space="preserve"> and that no one had identified any action taken by any of them in their capacity as passive shareholders that would make them liable on such claims</w:t>
      </w:r>
      <w:r w:rsidR="006A227C">
        <w:rPr>
          <w:color w:val="000000"/>
        </w:rPr>
        <w:t xml:space="preserve">.  </w:t>
      </w:r>
      <w:r w:rsidR="00FD7892">
        <w:rPr>
          <w:i/>
          <w:iCs/>
          <w:color w:val="000000"/>
        </w:rPr>
        <w:t xml:space="preserve"> </w:t>
      </w:r>
      <w:r>
        <w:rPr>
          <w:color w:val="000000"/>
        </w:rPr>
        <w:t xml:space="preserve">He also identified the extensive government oversight of </w:t>
      </w:r>
      <w:r w:rsidR="006239B5">
        <w:rPr>
          <w:color w:val="000000"/>
        </w:rPr>
        <w:t>Oxy</w:t>
      </w:r>
      <w:r>
        <w:rPr>
          <w:color w:val="000000"/>
        </w:rPr>
        <w:t xml:space="preserve"> after its 2007 Plea Agreement and Settlement with the federal government and certain states</w:t>
      </w:r>
      <w:r w:rsidR="008B54D4">
        <w:rPr>
          <w:color w:val="000000"/>
        </w:rPr>
        <w:t>,</w:t>
      </w:r>
      <w:r>
        <w:rPr>
          <w:color w:val="000000"/>
        </w:rPr>
        <w:t xml:space="preserve"> and the fact that neither DHHS nor various state reviews ever identified any improper actions.</w:t>
      </w:r>
      <w:r>
        <w:rPr>
          <w:rStyle w:val="FootnoteReference"/>
          <w:rFonts w:eastAsia="Times New Roman" w:cs="Times New Roman"/>
          <w:color w:val="000000"/>
          <w:vertAlign w:val="superscript"/>
        </w:rPr>
        <w:footnoteReference w:id="23"/>
      </w:r>
    </w:p>
    <w:p w14:paraId="0302A324" w14:textId="222915A1" w:rsidR="00A77BBD" w:rsidRDefault="00A77BBD" w:rsidP="00A77BBD">
      <w:pPr>
        <w:pStyle w:val="BodyTextFirstIndent"/>
      </w:pPr>
      <w:r>
        <w:rPr>
          <w:color w:val="000000"/>
        </w:rPr>
        <w:t xml:space="preserve">Judge </w:t>
      </w:r>
      <w:r w:rsidR="00E82FD6">
        <w:rPr>
          <w:color w:val="000000"/>
        </w:rPr>
        <w:t>Wains</w:t>
      </w:r>
      <w:r>
        <w:rPr>
          <w:color w:val="000000"/>
        </w:rPr>
        <w:t xml:space="preserve"> made no findings about the actual merit of any of the estates</w:t>
      </w:r>
      <w:r w:rsidR="008B54D4">
        <w:rPr>
          <w:color w:val="000000"/>
        </w:rPr>
        <w:t>’</w:t>
      </w:r>
      <w:r>
        <w:rPr>
          <w:color w:val="000000"/>
        </w:rPr>
        <w:t xml:space="preserve"> claims against any member of the </w:t>
      </w:r>
      <w:r w:rsidR="00E82FD6">
        <w:rPr>
          <w:color w:val="000000"/>
        </w:rPr>
        <w:t>Packler</w:t>
      </w:r>
      <w:r>
        <w:rPr>
          <w:color w:val="000000"/>
        </w:rPr>
        <w:t xml:space="preserve"> family</w:t>
      </w:r>
      <w:r w:rsidR="006A227C">
        <w:rPr>
          <w:color w:val="000000"/>
        </w:rPr>
        <w:t xml:space="preserve">.  </w:t>
      </w:r>
      <w:r>
        <w:rPr>
          <w:color w:val="000000"/>
        </w:rPr>
        <w:t>But weighing these difficulties against the benefits that would be derived from the settlement</w:t>
      </w:r>
      <w:r w:rsidR="008B54D4">
        <w:rPr>
          <w:color w:val="000000"/>
        </w:rPr>
        <w:t>,</w:t>
      </w:r>
      <w:r>
        <w:rPr>
          <w:color w:val="000000"/>
        </w:rPr>
        <w:t xml:space="preserve"> he concluded:</w:t>
      </w:r>
    </w:p>
    <w:p w14:paraId="0D68A3DB" w14:textId="529A147F" w:rsidR="00A77BBD" w:rsidRDefault="00A77BBD" w:rsidP="001B4668">
      <w:pPr>
        <w:pStyle w:val="BlockText"/>
      </w:pPr>
      <w:r>
        <w:t>I believe that in a vacuum the ultimate judgments that could be achieved on the estates</w:t>
      </w:r>
      <w:r w:rsidR="008B54D4">
        <w:t>’</w:t>
      </w:r>
      <w:r>
        <w:t xml:space="preserve"> claims </w:t>
      </w:r>
      <w:r w:rsidR="00110F91">
        <w:t xml:space="preserve">. . . </w:t>
      </w:r>
      <w:r>
        <w:t xml:space="preserve">might well be higher than the amount that the </w:t>
      </w:r>
      <w:r w:rsidR="00E82FD6">
        <w:t>Packler</w:t>
      </w:r>
      <w:r>
        <w:t>s are contributing</w:t>
      </w:r>
      <w:r w:rsidR="006A227C">
        <w:t xml:space="preserve">.  </w:t>
      </w:r>
      <w:r>
        <w:t>But I do not believe that recoveries on such judgments would be higher after taking into account the catastrophic effects on recoveries that would result from pursuing those claims and unravelling the plan</w:t>
      </w:r>
      <w:r w:rsidR="008B54D4">
        <w:t>’</w:t>
      </w:r>
      <w:r>
        <w:t>s intricate settlements.</w:t>
      </w:r>
      <w:r w:rsidR="001B4668">
        <w:t xml:space="preserve">  </w:t>
      </w:r>
      <w:r>
        <w:rPr>
          <w:color w:val="000000"/>
        </w:rPr>
        <w:t>And as I said at the beginning of this analysis</w:t>
      </w:r>
      <w:r w:rsidR="008B54D4">
        <w:rPr>
          <w:color w:val="000000"/>
        </w:rPr>
        <w:t>,</w:t>
      </w:r>
      <w:r>
        <w:rPr>
          <w:color w:val="000000"/>
        </w:rPr>
        <w:t xml:space="preserve"> there is also the serious issue of problems that would be faced in collection that the plan settlements materially reduce.</w:t>
      </w:r>
    </w:p>
    <w:p w14:paraId="244F8EDA" w14:textId="402949E9" w:rsidR="00A77BBD" w:rsidRDefault="00A77BBD" w:rsidP="00A77BBD">
      <w:pPr>
        <w:pStyle w:val="BodyTextFirstIndent"/>
      </w:pPr>
      <w:r>
        <w:rPr>
          <w:color w:val="000000"/>
        </w:rPr>
        <w:t xml:space="preserve">Judge </w:t>
      </w:r>
      <w:r w:rsidR="00E82FD6">
        <w:rPr>
          <w:color w:val="000000"/>
        </w:rPr>
        <w:t>Wains</w:t>
      </w:r>
      <w:r>
        <w:rPr>
          <w:color w:val="000000"/>
        </w:rPr>
        <w:t xml:space="preserve"> ended his discussion of the </w:t>
      </w:r>
      <w:r>
        <w:rPr>
          <w:i/>
          <w:iCs/>
          <w:color w:val="000000"/>
        </w:rPr>
        <w:t>Iridium</w:t>
      </w:r>
      <w:r>
        <w:rPr>
          <w:color w:val="000000"/>
        </w:rPr>
        <w:t xml:space="preserve"> factors </w:t>
      </w:r>
      <w:r w:rsidR="00E21AF3">
        <w:rPr>
          <w:color w:val="000000"/>
        </w:rPr>
        <w:t>by reflecting</w:t>
      </w:r>
      <w:r>
        <w:rPr>
          <w:color w:val="000000"/>
        </w:rPr>
        <w:t xml:space="preserve"> that he had “expected a higher settlement</w:t>
      </w:r>
      <w:r w:rsidR="008B54D4">
        <w:rPr>
          <w:color w:val="000000"/>
        </w:rPr>
        <w:t>,</w:t>
      </w:r>
      <w:r>
        <w:rPr>
          <w:color w:val="000000"/>
        </w:rPr>
        <w:t>” he said:</w:t>
      </w:r>
    </w:p>
    <w:p w14:paraId="1B280F0D" w14:textId="1E58408C" w:rsidR="00A77BBD" w:rsidRDefault="00A77BBD" w:rsidP="001B4668">
      <w:pPr>
        <w:pStyle w:val="BlockText"/>
      </w:pPr>
      <w:r>
        <w:t>This is a bitter result</w:t>
      </w:r>
      <w:r w:rsidR="006A227C">
        <w:t xml:space="preserve">.  </w:t>
      </w:r>
      <w:r>
        <w:t>B-I-T-T-E-R</w:t>
      </w:r>
      <w:r w:rsidR="006A227C">
        <w:t xml:space="preserve">.  </w:t>
      </w:r>
      <w:r>
        <w:t>It is incredibly frustrating that the law recognizes</w:t>
      </w:r>
      <w:r w:rsidR="008B54D4">
        <w:t>,</w:t>
      </w:r>
      <w:r>
        <w:t xml:space="preserve"> albeit with some exceptions</w:t>
      </w:r>
      <w:r w:rsidR="008B54D4">
        <w:t>,</w:t>
      </w:r>
      <w:r>
        <w:t xml:space="preserve"> although fairly narrow ones</w:t>
      </w:r>
      <w:r w:rsidR="008B54D4">
        <w:t>,</w:t>
      </w:r>
      <w:r>
        <w:t xml:space="preserve"> the enforceability of spendthrift trusts</w:t>
      </w:r>
      <w:r w:rsidR="006A227C">
        <w:t xml:space="preserve">.  </w:t>
      </w:r>
      <w:r>
        <w:t xml:space="preserve">It is incredibly frustrating that people can send their money offshore in a way that might frustrate </w:t>
      </w:r>
      <w:r w:rsidR="002F10FB">
        <w:t xml:space="preserve">U.S. </w:t>
      </w:r>
      <w:r>
        <w:t>law</w:t>
      </w:r>
      <w:r w:rsidR="006A227C">
        <w:t xml:space="preserve">.  </w:t>
      </w:r>
      <w:r>
        <w:t>It is frustrating</w:t>
      </w:r>
      <w:r w:rsidR="008B54D4">
        <w:t>,</w:t>
      </w:r>
      <w:r>
        <w:t xml:space="preserve"> although a long-established principle of </w:t>
      </w:r>
      <w:r w:rsidR="002F10FB">
        <w:t xml:space="preserve">U.S. </w:t>
      </w:r>
      <w:r>
        <w:t>law</w:t>
      </w:r>
      <w:r w:rsidR="008B54D4">
        <w:t>,</w:t>
      </w:r>
      <w:r>
        <w:t xml:space="preserve"> that it is so difficult to hold board members and controlling shareholders liable for their corporation</w:t>
      </w:r>
      <w:r w:rsidR="008B54D4">
        <w:t>’</w:t>
      </w:r>
      <w:r>
        <w:t>s conduct.</w:t>
      </w:r>
    </w:p>
    <w:p w14:paraId="163EA6C5" w14:textId="319E6620" w:rsidR="00A77BBD" w:rsidRDefault="00A77BBD" w:rsidP="00E21AF3">
      <w:pPr>
        <w:pStyle w:val="BlockText"/>
      </w:pPr>
      <w:r>
        <w:t>It is incredibly frustrating that the vast size of the claims against the Debtors and the vast number of claimants creates the need for this plan</w:t>
      </w:r>
      <w:r w:rsidR="008B54D4">
        <w:t>’</w:t>
      </w:r>
      <w:r>
        <w:t>s intricate settlements.</w:t>
      </w:r>
      <w:r w:rsidR="001B4668">
        <w:t xml:space="preserve">  </w:t>
      </w:r>
      <w:r>
        <w:rPr>
          <w:color w:val="000000"/>
        </w:rPr>
        <w:t>But those things are all facts that anyone who is a fiduciary for the creditor body would have to recognize</w:t>
      </w:r>
      <w:r w:rsidR="008B54D4">
        <w:rPr>
          <w:color w:val="000000"/>
        </w:rPr>
        <w:t>,</w:t>
      </w:r>
      <w:r>
        <w:rPr>
          <w:color w:val="000000"/>
        </w:rPr>
        <w:t xml:space="preserve"> and that I recognize.</w:t>
      </w:r>
    </w:p>
    <w:p w14:paraId="7C909341" w14:textId="3EA12E84" w:rsidR="00A77BBD" w:rsidRDefault="00A77BBD" w:rsidP="00A77BBD">
      <w:pPr>
        <w:pStyle w:val="BodyTextFirstIndent"/>
      </w:pPr>
      <w:r>
        <w:rPr>
          <w:color w:val="000000"/>
        </w:rPr>
        <w:t>Ultimately</w:t>
      </w:r>
      <w:r w:rsidR="008B54D4">
        <w:rPr>
          <w:color w:val="000000"/>
        </w:rPr>
        <w:t>,</w:t>
      </w:r>
      <w:r>
        <w:rPr>
          <w:color w:val="000000"/>
        </w:rPr>
        <w:t xml:space="preserve"> however</w:t>
      </w:r>
      <w:r w:rsidR="008B54D4">
        <w:rPr>
          <w:color w:val="000000"/>
        </w:rPr>
        <w:t>,</w:t>
      </w:r>
      <w:r>
        <w:rPr>
          <w:color w:val="000000"/>
        </w:rPr>
        <w:t xml:space="preserve"> the </w:t>
      </w:r>
      <w:r w:rsidR="00E21AF3">
        <w:rPr>
          <w:color w:val="000000"/>
        </w:rPr>
        <w:t>Bankruptcy Court</w:t>
      </w:r>
      <w:r>
        <w:rPr>
          <w:color w:val="000000"/>
        </w:rPr>
        <w:t xml:space="preserve"> decided that the perfect was the enemy of the good:</w:t>
      </w:r>
    </w:p>
    <w:p w14:paraId="516E0D96" w14:textId="0AC0CDC0" w:rsidR="00A77BBD" w:rsidRDefault="00A77BBD" w:rsidP="001B4668">
      <w:pPr>
        <w:pStyle w:val="BlockText"/>
      </w:pPr>
      <w:r>
        <w:t>I am not prepared</w:t>
      </w:r>
      <w:r w:rsidR="008B54D4">
        <w:t>,</w:t>
      </w:r>
      <w:r>
        <w:t xml:space="preserve"> given the record before me</w:t>
      </w:r>
      <w:r w:rsidR="008B54D4">
        <w:t>,</w:t>
      </w:r>
      <w:r>
        <w:t xml:space="preserve"> to risk [the parties</w:t>
      </w:r>
      <w:r w:rsidR="008B54D4">
        <w:t>’</w:t>
      </w:r>
      <w:r>
        <w:t>] agreement</w:t>
      </w:r>
      <w:r w:rsidR="006A227C">
        <w:t xml:space="preserve">.  </w:t>
      </w:r>
      <w:r>
        <w:t>I do not have the ability to impose what I would like on the parties.</w:t>
      </w:r>
    </w:p>
    <w:p w14:paraId="060C1FC4" w14:textId="24C09C77" w:rsidR="00A77BBD" w:rsidRDefault="00A77BBD" w:rsidP="001B4668">
      <w:pPr>
        <w:pStyle w:val="BodyTextFirstIndent"/>
        <w:ind w:firstLine="0"/>
      </w:pPr>
      <w:r>
        <w:rPr>
          <w:color w:val="000000"/>
        </w:rPr>
        <w:t>And so</w:t>
      </w:r>
      <w:r w:rsidR="008B54D4">
        <w:rPr>
          <w:color w:val="000000"/>
        </w:rPr>
        <w:t>,</w:t>
      </w:r>
      <w:r>
        <w:rPr>
          <w:color w:val="000000"/>
        </w:rPr>
        <w:t xml:space="preserve"> albeit with obvious reluctance</w:t>
      </w:r>
      <w:r w:rsidR="008B54D4">
        <w:rPr>
          <w:color w:val="000000"/>
        </w:rPr>
        <w:t>,</w:t>
      </w:r>
      <w:r>
        <w:rPr>
          <w:color w:val="000000"/>
        </w:rPr>
        <w:t xml:space="preserve"> he concluded that the settlement was reasonable as that term is understood at law.</w:t>
      </w:r>
    </w:p>
    <w:p w14:paraId="1A2B67BD" w14:textId="7BC98D2B" w:rsidR="00A77BBD" w:rsidRPr="001B4668" w:rsidRDefault="00A77BBD" w:rsidP="001B4668">
      <w:pPr>
        <w:pStyle w:val="Heading4"/>
        <w:rPr>
          <w:u w:val="single"/>
        </w:rPr>
      </w:pPr>
      <w:r w:rsidRPr="001B4668">
        <w:rPr>
          <w:u w:val="single"/>
        </w:rPr>
        <w:t>The Section 10.7 Shareholder Release Was In all Respects Legal</w:t>
      </w:r>
    </w:p>
    <w:p w14:paraId="0E3786B8" w14:textId="0C3F359C" w:rsidR="00A77BBD" w:rsidRDefault="00A77BBD" w:rsidP="00A77BBD">
      <w:pPr>
        <w:pStyle w:val="BodyTextFirstIndent"/>
      </w:pPr>
      <w:r>
        <w:rPr>
          <w:color w:val="000000"/>
        </w:rPr>
        <w:t>Having concluded that the settlements were fair and reasonable in amount</w:t>
      </w:r>
      <w:r w:rsidR="008B54D4">
        <w:rPr>
          <w:color w:val="000000"/>
        </w:rPr>
        <w:t>,</w:t>
      </w:r>
      <w:r>
        <w:rPr>
          <w:color w:val="000000"/>
        </w:rPr>
        <w:t xml:space="preserve"> Judge </w:t>
      </w:r>
      <w:r w:rsidR="00E82FD6">
        <w:rPr>
          <w:color w:val="000000"/>
        </w:rPr>
        <w:t>Wains</w:t>
      </w:r>
      <w:r>
        <w:rPr>
          <w:color w:val="000000"/>
        </w:rPr>
        <w:t xml:space="preserve"> went on to address a number of challenges to his legal authority to impose the most controversial element of those settlements:  The Section 10.7 Shareholder Release</w:t>
      </w:r>
      <w:r w:rsidR="006A227C">
        <w:rPr>
          <w:color w:val="000000"/>
        </w:rPr>
        <w:t xml:space="preserve">.  </w:t>
      </w:r>
      <w:r>
        <w:rPr>
          <w:color w:val="000000"/>
        </w:rPr>
        <w:t>He rejected each such challenge.</w:t>
      </w:r>
    </w:p>
    <w:p w14:paraId="075903B0" w14:textId="0E477ECC" w:rsidR="00A77BBD" w:rsidRDefault="00A77BBD" w:rsidP="00A77BBD">
      <w:pPr>
        <w:pStyle w:val="BodyTextFirstIndent"/>
      </w:pPr>
      <w:r>
        <w:rPr>
          <w:b/>
          <w:bCs/>
          <w:color w:val="000000"/>
        </w:rPr>
        <w:t>Subject matter jurisdiction</w:t>
      </w:r>
      <w:r w:rsidR="006A227C">
        <w:rPr>
          <w:b/>
          <w:bCs/>
          <w:color w:val="000000"/>
        </w:rPr>
        <w:t xml:space="preserve">.  </w:t>
      </w:r>
      <w:r>
        <w:rPr>
          <w:color w:val="000000"/>
        </w:rPr>
        <w:t>First</w:t>
      </w:r>
      <w:r w:rsidR="008B54D4">
        <w:rPr>
          <w:color w:val="000000"/>
        </w:rPr>
        <w:t>,</w:t>
      </w:r>
      <w:r>
        <w:rPr>
          <w:color w:val="000000"/>
        </w:rPr>
        <w:t xml:space="preserve"> Judge </w:t>
      </w:r>
      <w:r w:rsidR="00E82FD6">
        <w:rPr>
          <w:color w:val="000000"/>
        </w:rPr>
        <w:t>Wains</w:t>
      </w:r>
      <w:r>
        <w:rPr>
          <w:color w:val="000000"/>
        </w:rPr>
        <w:t xml:space="preserve"> concluded that he had subject matter jurisdiction to impose the third-party releases and injunctions</w:t>
      </w:r>
      <w:r w:rsidR="006A227C">
        <w:rPr>
          <w:color w:val="000000"/>
        </w:rPr>
        <w:t xml:space="preserve">.  </w:t>
      </w:r>
      <w:r>
        <w:rPr>
          <w:color w:val="000000"/>
        </w:rPr>
        <w:t xml:space="preserve">Citing </w:t>
      </w:r>
      <w:r>
        <w:rPr>
          <w:i/>
          <w:iCs/>
          <w:color w:val="000000"/>
        </w:rPr>
        <w:t>Celotex Corp</w:t>
      </w:r>
      <w:r w:rsidR="006A227C">
        <w:rPr>
          <w:i/>
          <w:iCs/>
          <w:color w:val="000000"/>
        </w:rPr>
        <w:t xml:space="preserve">. </w:t>
      </w:r>
      <w:r w:rsidR="00E150C1">
        <w:rPr>
          <w:i/>
          <w:iCs/>
          <w:color w:val="000000"/>
        </w:rPr>
        <w:t xml:space="preserve">v. </w:t>
      </w:r>
      <w:r>
        <w:rPr>
          <w:i/>
          <w:iCs/>
          <w:color w:val="000000"/>
        </w:rPr>
        <w:t>Edwards</w:t>
      </w:r>
      <w:r w:rsidR="008B54D4">
        <w:rPr>
          <w:color w:val="000000"/>
        </w:rPr>
        <w:t>,</w:t>
      </w:r>
      <w:r>
        <w:rPr>
          <w:color w:val="000000"/>
        </w:rPr>
        <w:t xml:space="preserve"> </w:t>
      </w:r>
      <w:hyperlink r:id="rId29" w:history="1">
        <w:r>
          <w:rPr>
            <w:color w:val="000000"/>
          </w:rPr>
          <w:t xml:space="preserve">514 </w:t>
        </w:r>
        <w:r w:rsidR="002F10FB">
          <w:rPr>
            <w:color w:val="000000"/>
          </w:rPr>
          <w:t xml:space="preserve">U.S. </w:t>
        </w:r>
        <w:r>
          <w:rPr>
            <w:color w:val="000000"/>
          </w:rPr>
          <w:t>300</w:t>
        </w:r>
        <w:r w:rsidR="008B54D4">
          <w:rPr>
            <w:color w:val="000000"/>
          </w:rPr>
          <w:t>,</w:t>
        </w:r>
        <w:r>
          <w:rPr>
            <w:color w:val="000000"/>
          </w:rPr>
          <w:t xml:space="preserve"> 307-08</w:t>
        </w:r>
      </w:hyperlink>
      <w:r>
        <w:rPr>
          <w:color w:val="000000"/>
        </w:rPr>
        <w:t xml:space="preserve"> (1995) and </w:t>
      </w:r>
      <w:r>
        <w:rPr>
          <w:i/>
          <w:iCs/>
          <w:color w:val="000000"/>
        </w:rPr>
        <w:t>SPV OSUS</w:t>
      </w:r>
      <w:r w:rsidR="008B54D4">
        <w:rPr>
          <w:i/>
          <w:iCs/>
          <w:color w:val="000000"/>
        </w:rPr>
        <w:t>,</w:t>
      </w:r>
      <w:r>
        <w:rPr>
          <w:i/>
          <w:iCs/>
          <w:color w:val="000000"/>
        </w:rPr>
        <w:t xml:space="preserve"> Ltd</w:t>
      </w:r>
      <w:r w:rsidR="006A227C">
        <w:rPr>
          <w:i/>
          <w:iCs/>
          <w:color w:val="000000"/>
        </w:rPr>
        <w:t xml:space="preserve">. </w:t>
      </w:r>
      <w:r w:rsidR="00E150C1">
        <w:rPr>
          <w:i/>
          <w:iCs/>
          <w:color w:val="000000"/>
        </w:rPr>
        <w:t xml:space="preserve">v. </w:t>
      </w:r>
      <w:r>
        <w:rPr>
          <w:i/>
          <w:iCs/>
          <w:color w:val="000000"/>
        </w:rPr>
        <w:t>UBS AG</w:t>
      </w:r>
      <w:r w:rsidR="008B54D4">
        <w:rPr>
          <w:color w:val="000000"/>
        </w:rPr>
        <w:t>,</w:t>
      </w:r>
      <w:r>
        <w:rPr>
          <w:color w:val="000000"/>
        </w:rPr>
        <w:t xml:space="preserve"> </w:t>
      </w:r>
      <w:hyperlink r:id="rId30" w:history="1">
        <w:r>
          <w:rPr>
            <w:color w:val="000000"/>
          </w:rPr>
          <w:t>882 F</w:t>
        </w:r>
        <w:r w:rsidR="006A227C">
          <w:rPr>
            <w:color w:val="000000"/>
          </w:rPr>
          <w:t xml:space="preserve">. </w:t>
        </w:r>
        <w:r>
          <w:rPr>
            <w:color w:val="000000"/>
          </w:rPr>
          <w:t>3d 333</w:t>
        </w:r>
        <w:r w:rsidR="008B54D4">
          <w:rPr>
            <w:color w:val="000000"/>
          </w:rPr>
          <w:t>,</w:t>
        </w:r>
        <w:r>
          <w:rPr>
            <w:color w:val="000000"/>
          </w:rPr>
          <w:t xml:space="preserve"> 339-40 </w:t>
        </w:r>
      </w:hyperlink>
      <w:r>
        <w:rPr>
          <w:color w:val="000000"/>
        </w:rPr>
        <w:t>(2d Cir.</w:t>
      </w:r>
      <w:r w:rsidR="001B4668">
        <w:rPr>
          <w:color w:val="000000"/>
        </w:rPr>
        <w:t xml:space="preserve"> </w:t>
      </w:r>
      <w:r>
        <w:rPr>
          <w:color w:val="000000"/>
        </w:rPr>
        <w:t>2018)</w:t>
      </w:r>
      <w:r w:rsidR="008B54D4">
        <w:rPr>
          <w:color w:val="000000"/>
        </w:rPr>
        <w:t>,</w:t>
      </w:r>
      <w:r>
        <w:rPr>
          <w:color w:val="000000"/>
        </w:rPr>
        <w:t xml:space="preserve"> he held that he had the undoubted power to enjoin the claims of third parties that had “any conceivable effect” on the Debtors</w:t>
      </w:r>
      <w:r w:rsidR="008B54D4">
        <w:rPr>
          <w:color w:val="000000"/>
        </w:rPr>
        <w:t>’</w:t>
      </w:r>
      <w:r>
        <w:rPr>
          <w:color w:val="000000"/>
        </w:rPr>
        <w:t xml:space="preserve"> estates as part of a Bankruptcy Court</w:t>
      </w:r>
      <w:r w:rsidR="008B54D4">
        <w:rPr>
          <w:color w:val="000000"/>
        </w:rPr>
        <w:t>’</w:t>
      </w:r>
      <w:r>
        <w:rPr>
          <w:color w:val="000000"/>
        </w:rPr>
        <w:t>s “related to” jurisdiction</w:t>
      </w:r>
      <w:r w:rsidR="008B54D4">
        <w:rPr>
          <w:color w:val="000000"/>
        </w:rPr>
        <w:t>,</w:t>
      </w:r>
      <w:r>
        <w:rPr>
          <w:color w:val="000000"/>
        </w:rPr>
        <w:t xml:space="preserve"> conferred by Congress in </w:t>
      </w:r>
      <w:hyperlink r:id="rId31" w:history="1">
        <w:r>
          <w:rPr>
            <w:color w:val="000000"/>
          </w:rPr>
          <w:t>28 U.S.C</w:t>
        </w:r>
        <w:r w:rsidR="006A227C">
          <w:rPr>
            <w:color w:val="000000"/>
          </w:rPr>
          <w:t xml:space="preserve">. </w:t>
        </w:r>
        <w:r>
          <w:rPr>
            <w:color w:val="000000"/>
          </w:rPr>
          <w:t>§ 1334(b)</w:t>
        </w:r>
      </w:hyperlink>
      <w:r w:rsidR="006A227C">
        <w:rPr>
          <w:color w:val="000000"/>
        </w:rPr>
        <w:t xml:space="preserve">.  </w:t>
      </w:r>
      <w:r>
        <w:rPr>
          <w:i/>
          <w:iCs/>
          <w:color w:val="000000"/>
        </w:rPr>
        <w:t xml:space="preserve">In re </w:t>
      </w:r>
      <w:r w:rsidR="006239B5">
        <w:rPr>
          <w:i/>
          <w:iCs/>
          <w:color w:val="000000"/>
        </w:rPr>
        <w:t>Oxy</w:t>
      </w:r>
      <w:r>
        <w:rPr>
          <w:i/>
          <w:iCs/>
          <w:color w:val="000000"/>
        </w:rPr>
        <w:t xml:space="preserve"> Pharma L.P.</w:t>
      </w:r>
      <w:r w:rsidR="008B54D4">
        <w:rPr>
          <w:color w:val="000000"/>
        </w:rPr>
        <w:t>,</w:t>
      </w:r>
      <w:r>
        <w:rPr>
          <w:color w:val="000000"/>
        </w:rPr>
        <w:t xml:space="preserve"> </w:t>
      </w:r>
      <w:hyperlink r:id="rId32" w:history="1">
        <w:r>
          <w:rPr>
            <w:color w:val="000000"/>
          </w:rPr>
          <w:t>2021 WL</w:t>
        </w:r>
      </w:hyperlink>
      <w:r>
        <w:rPr>
          <w:color w:val="000000"/>
        </w:rPr>
        <w:t xml:space="preserve"> </w:t>
      </w:r>
      <w:hyperlink r:id="rId33" w:history="1">
        <w:r>
          <w:rPr>
            <w:color w:val="000000"/>
          </w:rPr>
          <w:t>4240974</w:t>
        </w:r>
      </w:hyperlink>
      <w:r w:rsidR="008B54D4">
        <w:rPr>
          <w:color w:val="000000"/>
        </w:rPr>
        <w:t>,</w:t>
      </w:r>
      <w:r>
        <w:rPr>
          <w:color w:val="000000"/>
        </w:rPr>
        <w:t xml:space="preserve"> at *36-38</w:t>
      </w:r>
      <w:r w:rsidR="006A227C">
        <w:rPr>
          <w:color w:val="000000"/>
        </w:rPr>
        <w:t xml:space="preserve">.  </w:t>
      </w:r>
      <w:r>
        <w:rPr>
          <w:color w:val="000000"/>
        </w:rPr>
        <w:t xml:space="preserve">He concluded that the third-party claims covered by the Section 10.7 Shareholder Release would directly affect the </w:t>
      </w:r>
      <w:r>
        <w:rPr>
          <w:i/>
          <w:iCs/>
          <w:color w:val="000000"/>
        </w:rPr>
        <w:t>res</w:t>
      </w:r>
      <w:r>
        <w:rPr>
          <w:color w:val="000000"/>
        </w:rPr>
        <w:t xml:space="preserve"> of the Debtors</w:t>
      </w:r>
      <w:r w:rsidR="008B54D4">
        <w:rPr>
          <w:color w:val="000000"/>
        </w:rPr>
        <w:t>’</w:t>
      </w:r>
      <w:r>
        <w:rPr>
          <w:color w:val="000000"/>
        </w:rPr>
        <w:t xml:space="preserve"> estates in three different ways:  insurance rights</w:t>
      </w:r>
      <w:r w:rsidR="008B54D4">
        <w:rPr>
          <w:color w:val="000000"/>
        </w:rPr>
        <w:t>,</w:t>
      </w:r>
      <w:r>
        <w:rPr>
          <w:color w:val="000000"/>
        </w:rPr>
        <w:t xml:space="preserve"> the Shareholder Released Parties</w:t>
      </w:r>
      <w:r w:rsidR="008B54D4">
        <w:rPr>
          <w:color w:val="000000"/>
        </w:rPr>
        <w:t>’</w:t>
      </w:r>
      <w:r>
        <w:rPr>
          <w:color w:val="000000"/>
        </w:rPr>
        <w:t xml:space="preserve"> right to indemnification and contribution</w:t>
      </w:r>
      <w:r w:rsidR="008B54D4">
        <w:rPr>
          <w:color w:val="000000"/>
        </w:rPr>
        <w:t>,</w:t>
      </w:r>
      <w:r>
        <w:rPr>
          <w:color w:val="000000"/>
        </w:rPr>
        <w:t xml:space="preserve"> and the Debtors</w:t>
      </w:r>
      <w:r w:rsidR="008B54D4">
        <w:rPr>
          <w:color w:val="000000"/>
        </w:rPr>
        <w:t>’</w:t>
      </w:r>
      <w:r>
        <w:rPr>
          <w:color w:val="000000"/>
        </w:rPr>
        <w:t xml:space="preserve"> ability to pursue its own overlapping claims against the </w:t>
      </w:r>
      <w:r w:rsidR="00E82FD6">
        <w:rPr>
          <w:color w:val="000000"/>
        </w:rPr>
        <w:t>Packler</w:t>
      </w:r>
      <w:r>
        <w:rPr>
          <w:color w:val="000000"/>
        </w:rPr>
        <w:t>s</w:t>
      </w:r>
      <w:r w:rsidR="006A227C">
        <w:rPr>
          <w:color w:val="000000"/>
        </w:rPr>
        <w:t xml:space="preserve">.  </w:t>
      </w:r>
      <w:r>
        <w:rPr>
          <w:color w:val="000000"/>
        </w:rPr>
        <w:t>He concluded by saying</w:t>
      </w:r>
      <w:r w:rsidR="008B54D4">
        <w:rPr>
          <w:color w:val="000000"/>
        </w:rPr>
        <w:t>,</w:t>
      </w:r>
      <w:r>
        <w:rPr>
          <w:color w:val="000000"/>
        </w:rPr>
        <w:t xml:space="preserve"> “Depending on the kinds of third-party claims covered by a plan</w:t>
      </w:r>
      <w:r w:rsidR="008B54D4">
        <w:rPr>
          <w:color w:val="000000"/>
        </w:rPr>
        <w:t>’</w:t>
      </w:r>
      <w:r>
        <w:rPr>
          <w:color w:val="000000"/>
        </w:rPr>
        <w:t>s release and injunction of such claims</w:t>
      </w:r>
      <w:r w:rsidR="008B54D4">
        <w:rPr>
          <w:color w:val="000000"/>
        </w:rPr>
        <w:t>,</w:t>
      </w:r>
      <w:r>
        <w:rPr>
          <w:color w:val="000000"/>
        </w:rPr>
        <w:t xml:space="preserve"> </w:t>
      </w:r>
      <w:r>
        <w:rPr>
          <w:i/>
          <w:iCs/>
          <w:color w:val="000000"/>
        </w:rPr>
        <w:t>I conclude</w:t>
      </w:r>
      <w:r w:rsidR="008B54D4">
        <w:rPr>
          <w:i/>
          <w:iCs/>
          <w:color w:val="000000"/>
        </w:rPr>
        <w:t>,</w:t>
      </w:r>
      <w:r>
        <w:rPr>
          <w:i/>
          <w:iCs/>
          <w:color w:val="000000"/>
        </w:rPr>
        <w:t xml:space="preserve"> therefore</w:t>
      </w:r>
      <w:r w:rsidR="008B54D4">
        <w:rPr>
          <w:i/>
          <w:iCs/>
          <w:color w:val="000000"/>
        </w:rPr>
        <w:t>,</w:t>
      </w:r>
      <w:r>
        <w:rPr>
          <w:i/>
          <w:iCs/>
          <w:color w:val="000000"/>
        </w:rPr>
        <w:t xml:space="preserve"> that the Court has jurisdiction to impose such relief</w:t>
      </w:r>
      <w:r w:rsidR="008B54D4">
        <w:rPr>
          <w:i/>
          <w:iCs/>
          <w:color w:val="000000"/>
        </w:rPr>
        <w:t>,</w:t>
      </w:r>
      <w:r>
        <w:rPr>
          <w:i/>
          <w:iCs/>
          <w:color w:val="000000"/>
        </w:rPr>
        <w:t xml:space="preserve"> based upon the effect of the claims on the estate rather than on whether the claims are </w:t>
      </w:r>
      <w:r w:rsidR="008B54D4">
        <w:rPr>
          <w:i/>
          <w:iCs/>
          <w:color w:val="000000"/>
        </w:rPr>
        <w:t>‘</w:t>
      </w:r>
      <w:r>
        <w:rPr>
          <w:i/>
          <w:iCs/>
          <w:color w:val="000000"/>
        </w:rPr>
        <w:t xml:space="preserve">derivative </w:t>
      </w:r>
      <w:r w:rsidR="006A227C">
        <w:rPr>
          <w:i/>
          <w:iCs/>
          <w:color w:val="000000"/>
        </w:rPr>
        <w:t xml:space="preserve">. . </w:t>
      </w:r>
      <w:r>
        <w:rPr>
          <w:i/>
          <w:iCs/>
          <w:color w:val="000000"/>
        </w:rPr>
        <w:t>.</w:t>
      </w:r>
      <w:r w:rsidR="008B54D4" w:rsidRPr="00E97455">
        <w:rPr>
          <w:color w:val="000000"/>
        </w:rPr>
        <w:t>’</w:t>
      </w:r>
      <w:r>
        <w:rPr>
          <w:color w:val="000000"/>
        </w:rPr>
        <w:t>”</w:t>
      </w:r>
      <w:r w:rsidR="009B6652">
        <w:rPr>
          <w:color w:val="000000"/>
        </w:rPr>
        <w:t xml:space="preserve"> </w:t>
      </w:r>
      <w:r w:rsidR="00FD7892">
        <w:rPr>
          <w:i/>
          <w:iCs/>
          <w:color w:val="000000"/>
        </w:rPr>
        <w:t xml:space="preserve">Id. </w:t>
      </w:r>
      <w:r>
        <w:rPr>
          <w:color w:val="000000"/>
        </w:rPr>
        <w:t>at *38 (emphasis added).</w:t>
      </w:r>
    </w:p>
    <w:p w14:paraId="7CEF228B" w14:textId="32E523FC" w:rsidR="00A77BBD" w:rsidRDefault="00A77BBD" w:rsidP="00A77BBD">
      <w:pPr>
        <w:pStyle w:val="BodyTextFirstIndent"/>
      </w:pPr>
      <w:r>
        <w:rPr>
          <w:b/>
          <w:bCs/>
          <w:color w:val="000000"/>
        </w:rPr>
        <w:t>Due process</w:t>
      </w:r>
      <w:r w:rsidR="006A227C">
        <w:rPr>
          <w:b/>
          <w:bCs/>
          <w:color w:val="000000"/>
        </w:rPr>
        <w:t xml:space="preserve">.  </w:t>
      </w:r>
      <w:r>
        <w:rPr>
          <w:color w:val="000000"/>
        </w:rPr>
        <w:t>Next</w:t>
      </w:r>
      <w:r w:rsidR="008B54D4">
        <w:rPr>
          <w:color w:val="000000"/>
        </w:rPr>
        <w:t>,</w:t>
      </w:r>
      <w:r>
        <w:rPr>
          <w:color w:val="000000"/>
        </w:rPr>
        <w:t xml:space="preserve"> Judge </w:t>
      </w:r>
      <w:r w:rsidR="00E82FD6">
        <w:rPr>
          <w:color w:val="000000"/>
        </w:rPr>
        <w:t>Wains</w:t>
      </w:r>
      <w:r>
        <w:rPr>
          <w:color w:val="000000"/>
        </w:rPr>
        <w:t xml:space="preserve"> concluded that the Section 10.7 Shareholder Release did not violate the third-party claimants</w:t>
      </w:r>
      <w:r w:rsidR="008B54D4">
        <w:rPr>
          <w:color w:val="000000"/>
        </w:rPr>
        <w:t>’</w:t>
      </w:r>
      <w:r>
        <w:rPr>
          <w:color w:val="000000"/>
        </w:rPr>
        <w:t xml:space="preserve"> right to due process</w:t>
      </w:r>
      <w:r w:rsidR="006A227C">
        <w:rPr>
          <w:color w:val="000000"/>
        </w:rPr>
        <w:t xml:space="preserve">.  </w:t>
      </w:r>
      <w:r w:rsidR="00FD7892">
        <w:rPr>
          <w:i/>
          <w:iCs/>
          <w:color w:val="000000"/>
        </w:rPr>
        <w:t xml:space="preserve">Id. </w:t>
      </w:r>
      <w:r>
        <w:rPr>
          <w:color w:val="000000"/>
        </w:rPr>
        <w:t>at *38-39</w:t>
      </w:r>
      <w:r w:rsidR="006A227C">
        <w:rPr>
          <w:color w:val="000000"/>
        </w:rPr>
        <w:t xml:space="preserve">.  </w:t>
      </w:r>
      <w:r>
        <w:rPr>
          <w:color w:val="000000"/>
        </w:rPr>
        <w:t xml:space="preserve">He rejected the argument that a release constitutes a </w:t>
      </w:r>
      <w:r>
        <w:rPr>
          <w:i/>
          <w:iCs/>
          <w:color w:val="000000"/>
        </w:rPr>
        <w:t>de facto</w:t>
      </w:r>
      <w:r>
        <w:rPr>
          <w:color w:val="000000"/>
        </w:rPr>
        <w:t xml:space="preserve"> adjudication of the claim</w:t>
      </w:r>
      <w:r w:rsidR="008B54D4">
        <w:rPr>
          <w:color w:val="000000"/>
        </w:rPr>
        <w:t>,</w:t>
      </w:r>
      <w:r>
        <w:rPr>
          <w:color w:val="000000"/>
        </w:rPr>
        <w:t xml:space="preserve"> holding that such a release “is part of the settlement of the claim that channels settlement funds to the estate</w:t>
      </w:r>
      <w:r w:rsidR="00FA79C1">
        <w:rPr>
          <w:color w:val="000000"/>
        </w:rPr>
        <w:t xml:space="preserve">.”  </w:t>
      </w:r>
      <w:r w:rsidR="00FD7892">
        <w:rPr>
          <w:i/>
          <w:iCs/>
          <w:color w:val="000000"/>
        </w:rPr>
        <w:t xml:space="preserve">Id. </w:t>
      </w:r>
      <w:r>
        <w:rPr>
          <w:color w:val="000000"/>
        </w:rPr>
        <w:t>at 38</w:t>
      </w:r>
      <w:r w:rsidR="006A227C">
        <w:rPr>
          <w:color w:val="000000"/>
        </w:rPr>
        <w:t xml:space="preserve">.  </w:t>
      </w:r>
      <w:r>
        <w:rPr>
          <w:color w:val="000000"/>
        </w:rPr>
        <w:t>And he held that claimants had been provided with constitutionally sufficient notice of the proposed releases</w:t>
      </w:r>
      <w:r w:rsidR="006A227C">
        <w:rPr>
          <w:color w:val="000000"/>
        </w:rPr>
        <w:t xml:space="preserve">.  </w:t>
      </w:r>
      <w:r>
        <w:rPr>
          <w:color w:val="000000"/>
        </w:rPr>
        <w:t xml:space="preserve">Uncontroverted testimony that Judge </w:t>
      </w:r>
      <w:r w:rsidR="00E82FD6">
        <w:rPr>
          <w:color w:val="000000"/>
        </w:rPr>
        <w:t>Wains</w:t>
      </w:r>
      <w:r>
        <w:rPr>
          <w:color w:val="000000"/>
        </w:rPr>
        <w:t xml:space="preserve"> found credible established that messages tailored to reach persons who may have been harmed by Debtors</w:t>
      </w:r>
      <w:r w:rsidR="008B54D4">
        <w:rPr>
          <w:color w:val="000000"/>
        </w:rPr>
        <w:t>’</w:t>
      </w:r>
      <w:r>
        <w:rPr>
          <w:color w:val="000000"/>
        </w:rPr>
        <w:t xml:space="preserve"> products had reached roughly 98% of the adult population of the United States and 86% of the adult population of Canada</w:t>
      </w:r>
      <w:r w:rsidR="008B54D4">
        <w:rPr>
          <w:color w:val="000000"/>
        </w:rPr>
        <w:t>,</w:t>
      </w:r>
      <w:r>
        <w:rPr>
          <w:color w:val="000000"/>
        </w:rPr>
        <w:t xml:space="preserve"> with supplemental notice reaching an estimated 87% of all </w:t>
      </w:r>
      <w:r w:rsidR="002F10FB">
        <w:rPr>
          <w:color w:val="000000"/>
        </w:rPr>
        <w:t xml:space="preserve">U.S. </w:t>
      </w:r>
      <w:r>
        <w:rPr>
          <w:color w:val="000000"/>
        </w:rPr>
        <w:t>adults and 82% of Canadian adults</w:t>
      </w:r>
      <w:r w:rsidR="008B54D4">
        <w:rPr>
          <w:color w:val="000000"/>
        </w:rPr>
        <w:t>,</w:t>
      </w:r>
      <w:r>
        <w:rPr>
          <w:color w:val="000000"/>
        </w:rPr>
        <w:t xml:space="preserve"> as well as audiences in 39 countries</w:t>
      </w:r>
      <w:r w:rsidR="008B54D4">
        <w:rPr>
          <w:color w:val="000000"/>
        </w:rPr>
        <w:t>,</w:t>
      </w:r>
      <w:r>
        <w:rPr>
          <w:color w:val="000000"/>
        </w:rPr>
        <w:t xml:space="preserve"> with billions of hits on the internet and social media in addition to notice delivered by TV</w:t>
      </w:r>
      <w:r w:rsidR="008B54D4">
        <w:rPr>
          <w:color w:val="000000"/>
        </w:rPr>
        <w:t>,</w:t>
      </w:r>
      <w:r>
        <w:rPr>
          <w:color w:val="000000"/>
        </w:rPr>
        <w:t xml:space="preserve"> radio</w:t>
      </w:r>
      <w:r w:rsidR="008B54D4">
        <w:rPr>
          <w:color w:val="000000"/>
        </w:rPr>
        <w:t>,</w:t>
      </w:r>
      <w:r>
        <w:rPr>
          <w:color w:val="000000"/>
        </w:rPr>
        <w:t xml:space="preserve"> publications</w:t>
      </w:r>
      <w:r w:rsidR="008B54D4">
        <w:rPr>
          <w:color w:val="000000"/>
        </w:rPr>
        <w:t>,</w:t>
      </w:r>
      <w:r>
        <w:rPr>
          <w:color w:val="000000"/>
        </w:rPr>
        <w:t xml:space="preserve"> billboards and outreach to victim advocate and abatement-centered groups</w:t>
      </w:r>
      <w:r w:rsidR="006A227C">
        <w:rPr>
          <w:color w:val="000000"/>
        </w:rPr>
        <w:t xml:space="preserve">.  </w:t>
      </w:r>
      <w:r>
        <w:rPr>
          <w:color w:val="000000"/>
        </w:rPr>
        <w:t>While references contained in the notices sent readers to complex lawyerly descriptions of the release provisions</w:t>
      </w:r>
      <w:r w:rsidR="008B54D4">
        <w:rPr>
          <w:color w:val="000000"/>
        </w:rPr>
        <w:t>,</w:t>
      </w:r>
      <w:r>
        <w:rPr>
          <w:color w:val="000000"/>
        </w:rPr>
        <w:t xml:space="preserve"> the notices themselves were written in plain English and specifically mentioned that the Plan contemplated a broad release of civil (not criminal) claims against the members of the </w:t>
      </w:r>
      <w:r w:rsidR="00E82FD6">
        <w:rPr>
          <w:color w:val="000000"/>
        </w:rPr>
        <w:t>Packler</w:t>
      </w:r>
      <w:r>
        <w:rPr>
          <w:color w:val="000000"/>
        </w:rPr>
        <w:t xml:space="preserve"> family and related entities.</w:t>
      </w:r>
    </w:p>
    <w:p w14:paraId="7D0D23C1" w14:textId="39DD560E" w:rsidR="00A77BBD" w:rsidRDefault="00A77BBD" w:rsidP="00A77BBD">
      <w:pPr>
        <w:pStyle w:val="BodyTextFirstIndent"/>
      </w:pPr>
      <w:r>
        <w:rPr>
          <w:b/>
          <w:bCs/>
          <w:color w:val="000000"/>
        </w:rPr>
        <w:t>Constitutional authority</w:t>
      </w:r>
      <w:r w:rsidR="006A227C">
        <w:rPr>
          <w:b/>
          <w:bCs/>
          <w:color w:val="000000"/>
        </w:rPr>
        <w:t xml:space="preserve">.  </w:t>
      </w:r>
      <w:r>
        <w:rPr>
          <w:color w:val="000000"/>
        </w:rPr>
        <w:t xml:space="preserve">Judge </w:t>
      </w:r>
      <w:r w:rsidR="00E82FD6">
        <w:rPr>
          <w:color w:val="000000"/>
        </w:rPr>
        <w:t>Wains</w:t>
      </w:r>
      <w:r>
        <w:rPr>
          <w:color w:val="000000"/>
        </w:rPr>
        <w:t xml:space="preserve"> next concluded that he had constitutional power to issue a final order confirming a plan that contains a third-party claims release</w:t>
      </w:r>
      <w:r w:rsidR="006A227C">
        <w:rPr>
          <w:color w:val="000000"/>
        </w:rPr>
        <w:t xml:space="preserve">.  </w:t>
      </w:r>
      <w:r w:rsidR="00FD7892">
        <w:rPr>
          <w:i/>
          <w:iCs/>
          <w:color w:val="000000"/>
        </w:rPr>
        <w:t xml:space="preserve">Id. </w:t>
      </w:r>
      <w:r>
        <w:rPr>
          <w:color w:val="000000"/>
        </w:rPr>
        <w:t>at *40</w:t>
      </w:r>
      <w:r w:rsidR="006A227C">
        <w:rPr>
          <w:color w:val="000000"/>
        </w:rPr>
        <w:t xml:space="preserve">.  </w:t>
      </w:r>
      <w:r>
        <w:rPr>
          <w:color w:val="000000"/>
        </w:rPr>
        <w:t>He determined that a proceeding to determine whether a chapter 11 plan containing such a release was a “core” proceeding</w:t>
      </w:r>
      <w:r w:rsidR="008B54D4">
        <w:rPr>
          <w:color w:val="000000"/>
        </w:rPr>
        <w:t>,</w:t>
      </w:r>
      <w:r>
        <w:rPr>
          <w:color w:val="000000"/>
        </w:rPr>
        <w:t xml:space="preserve"> so ordering the non-debtor releases and enjoining the prosecution of third- party claims against non-the </w:t>
      </w:r>
      <w:r w:rsidR="00E82FD6">
        <w:rPr>
          <w:color w:val="000000"/>
        </w:rPr>
        <w:t>Packler</w:t>
      </w:r>
      <w:r>
        <w:rPr>
          <w:color w:val="000000"/>
        </w:rPr>
        <w:t xml:space="preserve">s qualified as “constitutionally core” under </w:t>
      </w:r>
      <w:r>
        <w:rPr>
          <w:i/>
          <w:iCs/>
          <w:color w:val="000000"/>
        </w:rPr>
        <w:t>Stern</w:t>
      </w:r>
      <w:r w:rsidR="00E150C1">
        <w:rPr>
          <w:i/>
          <w:iCs/>
          <w:color w:val="000000"/>
        </w:rPr>
        <w:t xml:space="preserve"> v. </w:t>
      </w:r>
      <w:r>
        <w:rPr>
          <w:i/>
          <w:iCs/>
          <w:color w:val="000000"/>
        </w:rPr>
        <w:t>Marshall</w:t>
      </w:r>
      <w:r w:rsidR="008B54D4">
        <w:rPr>
          <w:color w:val="000000"/>
        </w:rPr>
        <w:t>,</w:t>
      </w:r>
      <w:r>
        <w:rPr>
          <w:color w:val="000000"/>
        </w:rPr>
        <w:t xml:space="preserve"> </w:t>
      </w:r>
      <w:hyperlink r:id="rId34" w:history="1">
        <w:r>
          <w:rPr>
            <w:color w:val="000000"/>
          </w:rPr>
          <w:t xml:space="preserve">546 </w:t>
        </w:r>
        <w:r w:rsidR="002F10FB">
          <w:rPr>
            <w:color w:val="000000"/>
          </w:rPr>
          <w:t xml:space="preserve">U.S. </w:t>
        </w:r>
        <w:r>
          <w:rPr>
            <w:color w:val="000000"/>
          </w:rPr>
          <w:t>462</w:t>
        </w:r>
      </w:hyperlink>
      <w:r>
        <w:rPr>
          <w:color w:val="000000"/>
        </w:rPr>
        <w:t xml:space="preserve"> (2011) and its progeny.</w:t>
      </w:r>
    </w:p>
    <w:p w14:paraId="7C21ADA7" w14:textId="2A187707" w:rsidR="00A77BBD" w:rsidRDefault="00A77BBD" w:rsidP="00A77BBD">
      <w:pPr>
        <w:pStyle w:val="BodyTextFirstIndent"/>
      </w:pPr>
      <w:r>
        <w:rPr>
          <w:b/>
          <w:bCs/>
          <w:color w:val="000000"/>
        </w:rPr>
        <w:t>Statutory authority</w:t>
      </w:r>
      <w:r w:rsidR="006A227C">
        <w:rPr>
          <w:b/>
          <w:bCs/>
          <w:color w:val="000000"/>
        </w:rPr>
        <w:t xml:space="preserve">.  </w:t>
      </w:r>
      <w:r>
        <w:rPr>
          <w:color w:val="000000"/>
        </w:rPr>
        <w:t>Finally</w:t>
      </w:r>
      <w:r w:rsidR="008B54D4">
        <w:rPr>
          <w:color w:val="000000"/>
        </w:rPr>
        <w:t>,</w:t>
      </w:r>
      <w:r>
        <w:rPr>
          <w:color w:val="000000"/>
        </w:rPr>
        <w:t xml:space="preserve"> Judge </w:t>
      </w:r>
      <w:r w:rsidR="00E82FD6">
        <w:rPr>
          <w:color w:val="000000"/>
        </w:rPr>
        <w:t>Wains</w:t>
      </w:r>
      <w:r>
        <w:rPr>
          <w:color w:val="000000"/>
        </w:rPr>
        <w:t xml:space="preserve"> concluded that he had statutory power to confirm and enter the third-party releases</w:t>
      </w:r>
      <w:r w:rsidR="006A227C">
        <w:rPr>
          <w:color w:val="000000"/>
        </w:rPr>
        <w:t xml:space="preserve">.  </w:t>
      </w:r>
      <w:r>
        <w:rPr>
          <w:i/>
          <w:iCs/>
          <w:color w:val="000000"/>
        </w:rPr>
        <w:t xml:space="preserve">In re </w:t>
      </w:r>
      <w:r w:rsidR="006239B5">
        <w:rPr>
          <w:i/>
          <w:iCs/>
          <w:color w:val="000000"/>
        </w:rPr>
        <w:t>Oxy</w:t>
      </w:r>
      <w:r>
        <w:rPr>
          <w:i/>
          <w:iCs/>
          <w:color w:val="000000"/>
        </w:rPr>
        <w:t xml:space="preserve"> Pharma L.P.</w:t>
      </w:r>
      <w:r w:rsidR="008B54D4">
        <w:rPr>
          <w:color w:val="000000"/>
        </w:rPr>
        <w:t>,</w:t>
      </w:r>
      <w:r>
        <w:rPr>
          <w:color w:val="000000"/>
        </w:rPr>
        <w:t xml:space="preserve"> </w:t>
      </w:r>
      <w:hyperlink r:id="rId35" w:history="1">
        <w:r>
          <w:rPr>
            <w:color w:val="000000"/>
          </w:rPr>
          <w:t>2021 WL 4240974</w:t>
        </w:r>
      </w:hyperlink>
      <w:r w:rsidR="008B54D4">
        <w:rPr>
          <w:color w:val="000000"/>
        </w:rPr>
        <w:t>,</w:t>
      </w:r>
      <w:r>
        <w:rPr>
          <w:color w:val="000000"/>
        </w:rPr>
        <w:t xml:space="preserve"> at *40- 43</w:t>
      </w:r>
      <w:r w:rsidR="006A227C">
        <w:rPr>
          <w:color w:val="000000"/>
        </w:rPr>
        <w:t xml:space="preserve">.  </w:t>
      </w:r>
      <w:r>
        <w:rPr>
          <w:color w:val="000000"/>
        </w:rPr>
        <w:t>He started from the proposition that the Second Circuit</w:t>
      </w:r>
      <w:r w:rsidR="008B54D4">
        <w:rPr>
          <w:color w:val="000000"/>
        </w:rPr>
        <w:t>,</w:t>
      </w:r>
      <w:r>
        <w:rPr>
          <w:color w:val="000000"/>
        </w:rPr>
        <w:t xml:space="preserve"> in </w:t>
      </w:r>
      <w:r>
        <w:rPr>
          <w:i/>
          <w:iCs/>
          <w:color w:val="000000"/>
        </w:rPr>
        <w:t>Deutsche Bank A.G</w:t>
      </w:r>
      <w:r w:rsidR="006A227C">
        <w:rPr>
          <w:i/>
          <w:iCs/>
          <w:color w:val="000000"/>
        </w:rPr>
        <w:t>.</w:t>
      </w:r>
      <w:r w:rsidR="00E150C1">
        <w:rPr>
          <w:i/>
          <w:iCs/>
          <w:color w:val="000000"/>
        </w:rPr>
        <w:t xml:space="preserve"> v. </w:t>
      </w:r>
      <w:r>
        <w:rPr>
          <w:i/>
          <w:iCs/>
          <w:color w:val="000000"/>
        </w:rPr>
        <w:t>Metromedia Fiber Network</w:t>
      </w:r>
      <w:r w:rsidR="008B54D4">
        <w:rPr>
          <w:i/>
          <w:iCs/>
          <w:color w:val="000000"/>
        </w:rPr>
        <w:t>,</w:t>
      </w:r>
      <w:r>
        <w:rPr>
          <w:i/>
          <w:iCs/>
          <w:color w:val="000000"/>
        </w:rPr>
        <w:t xml:space="preserve"> Inc.</w:t>
      </w:r>
      <w:r w:rsidR="008B54D4">
        <w:rPr>
          <w:i/>
          <w:iCs/>
          <w:color w:val="000000"/>
        </w:rPr>
        <w:t>,</w:t>
      </w:r>
      <w:r>
        <w:rPr>
          <w:i/>
          <w:iCs/>
          <w:color w:val="000000"/>
        </w:rPr>
        <w:t xml:space="preserve"> (In re Metromedia Fiber Network</w:t>
      </w:r>
      <w:r w:rsidR="008B54D4">
        <w:rPr>
          <w:i/>
          <w:iCs/>
          <w:color w:val="000000"/>
        </w:rPr>
        <w:t>,</w:t>
      </w:r>
      <w:r>
        <w:rPr>
          <w:i/>
          <w:iCs/>
          <w:color w:val="000000"/>
        </w:rPr>
        <w:t xml:space="preserve"> Inc.)</w:t>
      </w:r>
      <w:r w:rsidR="008B54D4">
        <w:rPr>
          <w:color w:val="000000"/>
        </w:rPr>
        <w:t>,</w:t>
      </w:r>
      <w:r>
        <w:rPr>
          <w:color w:val="000000"/>
        </w:rPr>
        <w:t xml:space="preserve"> </w:t>
      </w:r>
      <w:hyperlink r:id="rId36" w:history="1">
        <w:r>
          <w:rPr>
            <w:color w:val="000000"/>
          </w:rPr>
          <w:t>416 F</w:t>
        </w:r>
        <w:r w:rsidR="006A227C">
          <w:rPr>
            <w:color w:val="000000"/>
          </w:rPr>
          <w:t xml:space="preserve">. </w:t>
        </w:r>
        <w:r>
          <w:rPr>
            <w:color w:val="000000"/>
          </w:rPr>
          <w:t>3d 136</w:t>
        </w:r>
        <w:r w:rsidR="008B54D4">
          <w:rPr>
            <w:color w:val="000000"/>
          </w:rPr>
          <w:t>,</w:t>
        </w:r>
        <w:r>
          <w:rPr>
            <w:color w:val="000000"/>
          </w:rPr>
          <w:t xml:space="preserve"> 141 </w:t>
        </w:r>
      </w:hyperlink>
      <w:r>
        <w:rPr>
          <w:color w:val="000000"/>
        </w:rPr>
        <w:t>(2d Cir</w:t>
      </w:r>
      <w:r w:rsidR="006A227C">
        <w:rPr>
          <w:color w:val="000000"/>
        </w:rPr>
        <w:t xml:space="preserve">. </w:t>
      </w:r>
      <w:r>
        <w:rPr>
          <w:color w:val="000000"/>
        </w:rPr>
        <w:t>2005)</w:t>
      </w:r>
      <w:r w:rsidR="008B54D4">
        <w:rPr>
          <w:color w:val="000000"/>
        </w:rPr>
        <w:t>,</w:t>
      </w:r>
      <w:r>
        <w:rPr>
          <w:color w:val="000000"/>
        </w:rPr>
        <w:t xml:space="preserve"> had indicated that non-consensual third-party releases of claims against non-debtors could be approved</w:t>
      </w:r>
      <w:r w:rsidR="008B54D4">
        <w:rPr>
          <w:color w:val="000000"/>
        </w:rPr>
        <w:t>,</w:t>
      </w:r>
      <w:r>
        <w:rPr>
          <w:color w:val="000000"/>
        </w:rPr>
        <w:t xml:space="preserve"> albeit only in “appropriate</w:t>
      </w:r>
      <w:r w:rsidR="008B54D4">
        <w:rPr>
          <w:color w:val="000000"/>
        </w:rPr>
        <w:t>,</w:t>
      </w:r>
      <w:r>
        <w:rPr>
          <w:color w:val="000000"/>
        </w:rPr>
        <w:t xml:space="preserve"> narrow circumstances</w:t>
      </w:r>
      <w:r w:rsidR="00FA79C1">
        <w:rPr>
          <w:color w:val="000000"/>
        </w:rPr>
        <w:t xml:space="preserve">.”  </w:t>
      </w:r>
      <w:r>
        <w:rPr>
          <w:i/>
          <w:iCs/>
          <w:color w:val="000000"/>
        </w:rPr>
        <w:t xml:space="preserve">In re </w:t>
      </w:r>
      <w:r w:rsidR="006239B5">
        <w:rPr>
          <w:i/>
          <w:iCs/>
          <w:color w:val="000000"/>
        </w:rPr>
        <w:t>Oxy</w:t>
      </w:r>
      <w:r>
        <w:rPr>
          <w:i/>
          <w:iCs/>
          <w:color w:val="000000"/>
        </w:rPr>
        <w:t xml:space="preserve"> Pharma L.P.</w:t>
      </w:r>
      <w:r w:rsidR="008B54D4">
        <w:rPr>
          <w:color w:val="000000"/>
        </w:rPr>
        <w:t>,</w:t>
      </w:r>
      <w:r>
        <w:rPr>
          <w:color w:val="000000"/>
        </w:rPr>
        <w:t xml:space="preserve"> </w:t>
      </w:r>
      <w:hyperlink r:id="rId37" w:history="1">
        <w:r>
          <w:rPr>
            <w:color w:val="000000"/>
          </w:rPr>
          <w:t>2021</w:t>
        </w:r>
      </w:hyperlink>
      <w:r>
        <w:rPr>
          <w:color w:val="000000"/>
        </w:rPr>
        <w:t xml:space="preserve"> </w:t>
      </w:r>
      <w:hyperlink r:id="rId38" w:history="1">
        <w:r>
          <w:rPr>
            <w:color w:val="000000"/>
          </w:rPr>
          <w:t>WL 4240974</w:t>
        </w:r>
      </w:hyperlink>
      <w:r w:rsidR="008B54D4">
        <w:rPr>
          <w:color w:val="000000"/>
        </w:rPr>
        <w:t>,</w:t>
      </w:r>
      <w:r>
        <w:rPr>
          <w:color w:val="000000"/>
        </w:rPr>
        <w:t xml:space="preserve"> at *40</w:t>
      </w:r>
      <w:r w:rsidR="006A227C">
        <w:rPr>
          <w:color w:val="000000"/>
        </w:rPr>
        <w:t xml:space="preserve">.  </w:t>
      </w:r>
      <w:r>
        <w:rPr>
          <w:color w:val="000000"/>
        </w:rPr>
        <w:t>He noted that most of the Circuits were of that view and rejected the reasoning of those courts of appeal that held otherwise</w:t>
      </w:r>
      <w:r w:rsidR="006A227C">
        <w:rPr>
          <w:color w:val="000000"/>
        </w:rPr>
        <w:t xml:space="preserve">.  </w:t>
      </w:r>
      <w:r>
        <w:rPr>
          <w:color w:val="000000"/>
        </w:rPr>
        <w:t>Indeed</w:t>
      </w:r>
      <w:r w:rsidR="008B54D4">
        <w:rPr>
          <w:color w:val="000000"/>
        </w:rPr>
        <w:t>,</w:t>
      </w:r>
      <w:r>
        <w:rPr>
          <w:color w:val="000000"/>
        </w:rPr>
        <w:t xml:space="preserve"> he asserted that the view of those Circuits (the Fifth</w:t>
      </w:r>
      <w:r w:rsidR="008B54D4">
        <w:rPr>
          <w:color w:val="000000"/>
        </w:rPr>
        <w:t>,</w:t>
      </w:r>
      <w:r>
        <w:rPr>
          <w:color w:val="000000"/>
        </w:rPr>
        <w:t xml:space="preserve"> Ninth</w:t>
      </w:r>
      <w:r w:rsidR="008B54D4">
        <w:rPr>
          <w:color w:val="000000"/>
        </w:rPr>
        <w:t>,</w:t>
      </w:r>
      <w:r>
        <w:rPr>
          <w:color w:val="000000"/>
        </w:rPr>
        <w:t xml:space="preserve"> and Tenth Circuits) - which is that Section 524(e) of the Bankruptcy Code precluded the grant of any such release in the context of a settlement - “has been effectively refuted</w:t>
      </w:r>
      <w:r w:rsidR="00FA79C1">
        <w:rPr>
          <w:color w:val="000000"/>
        </w:rPr>
        <w:t xml:space="preserve">.”  </w:t>
      </w:r>
      <w:r w:rsidR="00FD7892">
        <w:rPr>
          <w:i/>
          <w:iCs/>
          <w:color w:val="000000"/>
        </w:rPr>
        <w:t xml:space="preserve">Id. </w:t>
      </w:r>
      <w:r>
        <w:rPr>
          <w:color w:val="000000"/>
        </w:rPr>
        <w:t>at *41</w:t>
      </w:r>
      <w:r w:rsidR="006A227C">
        <w:rPr>
          <w:color w:val="000000"/>
        </w:rPr>
        <w:t xml:space="preserve">.  </w:t>
      </w:r>
      <w:r>
        <w:rPr>
          <w:color w:val="000000"/>
        </w:rPr>
        <w:t>He analogized the enjoining of third-party claims against non-debtors to his undoubted power to impose a preliminary injunction against the temporary prosecution of third- party claims in order to facilitate the reorganization process</w:t>
      </w:r>
      <w:r w:rsidR="006A227C">
        <w:rPr>
          <w:color w:val="000000"/>
        </w:rPr>
        <w:t xml:space="preserve">.  </w:t>
      </w:r>
      <w:r>
        <w:rPr>
          <w:color w:val="000000"/>
        </w:rPr>
        <w:t>And he asked rhetorically why such a stay could not become permanent if it was crucial to a reorganization process involving massive numbers of overlapping estate and third-party claims</w:t>
      </w:r>
      <w:r w:rsidR="006A227C">
        <w:rPr>
          <w:color w:val="000000"/>
        </w:rPr>
        <w:t xml:space="preserve">.  </w:t>
      </w:r>
      <w:r w:rsidR="00FD7892">
        <w:rPr>
          <w:i/>
          <w:iCs/>
          <w:color w:val="000000"/>
        </w:rPr>
        <w:t xml:space="preserve">Id. </w:t>
      </w:r>
      <w:r>
        <w:rPr>
          <w:color w:val="000000"/>
        </w:rPr>
        <w:t>at *42.</w:t>
      </w:r>
    </w:p>
    <w:p w14:paraId="330FDA54" w14:textId="677689E5" w:rsidR="00A77BBD" w:rsidRDefault="00A77BBD" w:rsidP="00A77BBD">
      <w:pPr>
        <w:pStyle w:val="BodyTextFirstIndent"/>
      </w:pPr>
      <w:r>
        <w:rPr>
          <w:color w:val="000000"/>
        </w:rPr>
        <w:t>Having concluded that Section 524(e) was not a statutory impediment to a Bankruptcy Court</w:t>
      </w:r>
      <w:r w:rsidR="008B54D4">
        <w:rPr>
          <w:color w:val="000000"/>
        </w:rPr>
        <w:t>’</w:t>
      </w:r>
      <w:r>
        <w:rPr>
          <w:color w:val="000000"/>
        </w:rPr>
        <w:t>s approval of third-party releases</w:t>
      </w:r>
      <w:r w:rsidR="008B54D4">
        <w:rPr>
          <w:color w:val="000000"/>
        </w:rPr>
        <w:t>,</w:t>
      </w:r>
      <w:r>
        <w:rPr>
          <w:color w:val="000000"/>
        </w:rPr>
        <w:t xml:space="preserve"> the Bankruptcy Judge then addressed the question of exactly what provision or provisions in the Bankruptcy Code conferred the necessary authority over claims against non-debtors on him</w:t>
      </w:r>
      <w:r w:rsidR="006A227C">
        <w:rPr>
          <w:color w:val="000000"/>
        </w:rPr>
        <w:t xml:space="preserve">.  </w:t>
      </w:r>
      <w:r w:rsidR="00FD7892">
        <w:rPr>
          <w:i/>
          <w:iCs/>
          <w:color w:val="000000"/>
        </w:rPr>
        <w:t xml:space="preserve">Id. </w:t>
      </w:r>
      <w:r>
        <w:rPr>
          <w:color w:val="000000"/>
        </w:rPr>
        <w:t>at *42-43</w:t>
      </w:r>
      <w:r w:rsidR="006A227C">
        <w:rPr>
          <w:color w:val="000000"/>
        </w:rPr>
        <w:t xml:space="preserve">.  </w:t>
      </w:r>
      <w:r>
        <w:rPr>
          <w:color w:val="000000"/>
        </w:rPr>
        <w:t>He found such authority in the “necessary or appropriate” power in Section 105(a) of the Bankruptcy Code coupled with Section 1123(b)(6)</w:t>
      </w:r>
      <w:r w:rsidR="008B54D4">
        <w:rPr>
          <w:color w:val="000000"/>
        </w:rPr>
        <w:t>’</w:t>
      </w:r>
      <w:r>
        <w:rPr>
          <w:color w:val="000000"/>
        </w:rPr>
        <w:t xml:space="preserve">s grant of power to “include any other appropriate provision not inconsistent with the applicable provisions of this title” - what the Seventh Circuit referred to in </w:t>
      </w:r>
      <w:r>
        <w:rPr>
          <w:i/>
          <w:iCs/>
          <w:color w:val="000000"/>
        </w:rPr>
        <w:t>In re Airadigm Communications</w:t>
      </w:r>
      <w:r w:rsidR="008B54D4">
        <w:rPr>
          <w:i/>
          <w:iCs/>
          <w:color w:val="000000"/>
        </w:rPr>
        <w:t>,</w:t>
      </w:r>
      <w:r>
        <w:rPr>
          <w:i/>
          <w:iCs/>
          <w:color w:val="000000"/>
        </w:rPr>
        <w:t xml:space="preserve"> Inc</w:t>
      </w:r>
      <w:r>
        <w:rPr>
          <w:color w:val="000000"/>
        </w:rPr>
        <w:t>.</w:t>
      </w:r>
      <w:r w:rsidR="008B54D4">
        <w:rPr>
          <w:color w:val="000000"/>
        </w:rPr>
        <w:t>,</w:t>
      </w:r>
      <w:r>
        <w:rPr>
          <w:color w:val="000000"/>
        </w:rPr>
        <w:t xml:space="preserve"> </w:t>
      </w:r>
      <w:hyperlink r:id="rId39" w:history="1">
        <w:r>
          <w:rPr>
            <w:color w:val="000000"/>
          </w:rPr>
          <w:t>519 F</w:t>
        </w:r>
        <w:r w:rsidR="006A227C">
          <w:rPr>
            <w:color w:val="000000"/>
          </w:rPr>
          <w:t xml:space="preserve">. </w:t>
        </w:r>
        <w:r>
          <w:rPr>
            <w:color w:val="000000"/>
          </w:rPr>
          <w:t>3d 640</w:t>
        </w:r>
        <w:r w:rsidR="008B54D4">
          <w:rPr>
            <w:color w:val="000000"/>
          </w:rPr>
          <w:t>,</w:t>
        </w:r>
        <w:r>
          <w:rPr>
            <w:color w:val="000000"/>
          </w:rPr>
          <w:t xml:space="preserve"> 657</w:t>
        </w:r>
      </w:hyperlink>
      <w:r>
        <w:rPr>
          <w:color w:val="000000"/>
        </w:rPr>
        <w:t xml:space="preserve"> (7th </w:t>
      </w:r>
      <w:r w:rsidR="00E97455">
        <w:rPr>
          <w:color w:val="000000"/>
        </w:rPr>
        <w:t xml:space="preserve">Cir. </w:t>
      </w:r>
      <w:r>
        <w:rPr>
          <w:color w:val="000000"/>
        </w:rPr>
        <w:t>2008) as a bankruptcy court</w:t>
      </w:r>
      <w:r w:rsidR="008B54D4">
        <w:rPr>
          <w:color w:val="000000"/>
        </w:rPr>
        <w:t>’</w:t>
      </w:r>
      <w:r>
        <w:rPr>
          <w:color w:val="000000"/>
        </w:rPr>
        <w:t>s “residual authority</w:t>
      </w:r>
      <w:r w:rsidR="00FA79C1">
        <w:rPr>
          <w:color w:val="000000"/>
        </w:rPr>
        <w:t xml:space="preserve">.”  </w:t>
      </w:r>
      <w:r>
        <w:rPr>
          <w:i/>
          <w:iCs/>
          <w:color w:val="000000"/>
        </w:rPr>
        <w:t xml:space="preserve">In re </w:t>
      </w:r>
      <w:r w:rsidR="006239B5">
        <w:rPr>
          <w:i/>
          <w:iCs/>
          <w:color w:val="000000"/>
        </w:rPr>
        <w:t>Oxy</w:t>
      </w:r>
      <w:r>
        <w:rPr>
          <w:i/>
          <w:iCs/>
          <w:color w:val="000000"/>
        </w:rPr>
        <w:t xml:space="preserve"> Pharma L.P.</w:t>
      </w:r>
      <w:r w:rsidR="008B54D4">
        <w:rPr>
          <w:color w:val="000000"/>
        </w:rPr>
        <w:t>,</w:t>
      </w:r>
      <w:r>
        <w:rPr>
          <w:color w:val="000000"/>
        </w:rPr>
        <w:t xml:space="preserve"> </w:t>
      </w:r>
      <w:hyperlink r:id="rId40" w:history="1">
        <w:r>
          <w:rPr>
            <w:color w:val="000000"/>
          </w:rPr>
          <w:t>2021 WL 4240974</w:t>
        </w:r>
      </w:hyperlink>
      <w:r w:rsidR="008B54D4">
        <w:rPr>
          <w:color w:val="000000"/>
        </w:rPr>
        <w:t>,</w:t>
      </w:r>
      <w:r>
        <w:rPr>
          <w:color w:val="000000"/>
        </w:rPr>
        <w:t xml:space="preserve"> at *43</w:t>
      </w:r>
      <w:r w:rsidR="006A227C">
        <w:rPr>
          <w:color w:val="000000"/>
        </w:rPr>
        <w:t xml:space="preserve">.  </w:t>
      </w:r>
      <w:r>
        <w:rPr>
          <w:color w:val="000000"/>
        </w:rPr>
        <w:t>He also cited Sections 1123(b)(5) and 1129 of the Bankruptcy Code.</w:t>
      </w:r>
    </w:p>
    <w:p w14:paraId="2F670DD8" w14:textId="16B617C0" w:rsidR="00A77BBD" w:rsidRDefault="00A77BBD" w:rsidP="00A77BBD">
      <w:pPr>
        <w:pStyle w:val="BodyTextFirstIndent"/>
      </w:pPr>
      <w:r>
        <w:rPr>
          <w:color w:val="000000"/>
        </w:rPr>
        <w:t xml:space="preserve">Judge </w:t>
      </w:r>
      <w:r w:rsidR="00E82FD6">
        <w:rPr>
          <w:color w:val="000000"/>
        </w:rPr>
        <w:t>Wains</w:t>
      </w:r>
      <w:r>
        <w:rPr>
          <w:color w:val="000000"/>
        </w:rPr>
        <w:t xml:space="preserve"> carefully noted that the release in this case extended beyond so-called “derivative” claims - claims that the Debtors could bring against the </w:t>
      </w:r>
      <w:r w:rsidR="00E82FD6">
        <w:rPr>
          <w:color w:val="000000"/>
        </w:rPr>
        <w:t>Packler</w:t>
      </w:r>
      <w:r>
        <w:rPr>
          <w:color w:val="000000"/>
        </w:rPr>
        <w:t xml:space="preserve">s- which claims could assuredly be released by a bankruptcy court exercising </w:t>
      </w:r>
      <w:r>
        <w:rPr>
          <w:i/>
          <w:iCs/>
          <w:color w:val="000000"/>
        </w:rPr>
        <w:t>in rem</w:t>
      </w:r>
      <w:r>
        <w:rPr>
          <w:color w:val="000000"/>
        </w:rPr>
        <w:t xml:space="preserve"> jurisdiction over the </w:t>
      </w:r>
      <w:r>
        <w:rPr>
          <w:i/>
          <w:iCs/>
          <w:color w:val="000000"/>
        </w:rPr>
        <w:t>res</w:t>
      </w:r>
      <w:r>
        <w:rPr>
          <w:color w:val="000000"/>
        </w:rPr>
        <w:t xml:space="preserve"> of the estate</w:t>
      </w:r>
      <w:r w:rsidR="006A227C">
        <w:rPr>
          <w:color w:val="000000"/>
        </w:rPr>
        <w:t xml:space="preserve">.  </w:t>
      </w:r>
      <w:r>
        <w:rPr>
          <w:color w:val="000000"/>
        </w:rPr>
        <w:t xml:space="preserve">But he concluded - largely in reliance on </w:t>
      </w:r>
      <w:r>
        <w:rPr>
          <w:i/>
          <w:iCs/>
          <w:color w:val="000000"/>
        </w:rPr>
        <w:t>In re Quigley Co.</w:t>
      </w:r>
      <w:r w:rsidR="008B54D4">
        <w:rPr>
          <w:i/>
          <w:iCs/>
          <w:color w:val="000000"/>
        </w:rPr>
        <w:t>,</w:t>
      </w:r>
      <w:r>
        <w:rPr>
          <w:i/>
          <w:iCs/>
          <w:color w:val="000000"/>
        </w:rPr>
        <w:t xml:space="preserve"> Inc.</w:t>
      </w:r>
      <w:r w:rsidR="008B54D4">
        <w:rPr>
          <w:color w:val="000000"/>
        </w:rPr>
        <w:t>,</w:t>
      </w:r>
      <w:hyperlink r:id="rId41" w:history="1">
        <w:r>
          <w:rPr>
            <w:color w:val="000000"/>
          </w:rPr>
          <w:t xml:space="preserve"> 676 F.3d 45</w:t>
        </w:r>
        <w:r w:rsidR="008B54D4">
          <w:rPr>
            <w:color w:val="000000"/>
          </w:rPr>
          <w:t>,</w:t>
        </w:r>
        <w:r>
          <w:rPr>
            <w:color w:val="000000"/>
          </w:rPr>
          <w:t xml:space="preserve"> 59-60 </w:t>
        </w:r>
      </w:hyperlink>
      <w:r>
        <w:rPr>
          <w:color w:val="000000"/>
        </w:rPr>
        <w:t xml:space="preserve">(2d </w:t>
      </w:r>
      <w:r w:rsidR="00E97455">
        <w:rPr>
          <w:color w:val="000000"/>
        </w:rPr>
        <w:t xml:space="preserve">Cir. </w:t>
      </w:r>
      <w:r>
        <w:rPr>
          <w:color w:val="000000"/>
        </w:rPr>
        <w:t>2012)</w:t>
      </w:r>
      <w:r w:rsidR="009B6652">
        <w:rPr>
          <w:color w:val="000000"/>
        </w:rPr>
        <w:t xml:space="preserve"> </w:t>
      </w:r>
      <w:r>
        <w:rPr>
          <w:color w:val="000000"/>
        </w:rPr>
        <w:t>-</w:t>
      </w:r>
      <w:r w:rsidR="009B6652">
        <w:rPr>
          <w:color w:val="000000"/>
        </w:rPr>
        <w:t xml:space="preserve"> </w:t>
      </w:r>
      <w:r>
        <w:rPr>
          <w:color w:val="000000"/>
        </w:rPr>
        <w:t>that he had statutory authority to authorize the release of non-derivative - direct or particularized</w:t>
      </w:r>
      <w:r w:rsidR="009B6652">
        <w:rPr>
          <w:color w:val="000000"/>
        </w:rPr>
        <w:t xml:space="preserve"> </w:t>
      </w:r>
      <w:r>
        <w:rPr>
          <w:color w:val="000000"/>
        </w:rPr>
        <w:t>-</w:t>
      </w:r>
      <w:r w:rsidR="009B6652">
        <w:rPr>
          <w:color w:val="000000"/>
        </w:rPr>
        <w:t xml:space="preserve"> </w:t>
      </w:r>
      <w:r>
        <w:rPr>
          <w:color w:val="000000"/>
        </w:rPr>
        <w:t>claims</w:t>
      </w:r>
      <w:r w:rsidR="008B54D4">
        <w:rPr>
          <w:color w:val="000000"/>
        </w:rPr>
        <w:t>,</w:t>
      </w:r>
      <w:r>
        <w:rPr>
          <w:color w:val="000000"/>
        </w:rPr>
        <w:t xml:space="preserve"> because the third party claims to be released in this case were “premised as a legal matter on a meaningful overlap with the debtor</w:t>
      </w:r>
      <w:r w:rsidR="008B54D4">
        <w:rPr>
          <w:color w:val="000000"/>
        </w:rPr>
        <w:t>’</w:t>
      </w:r>
      <w:r>
        <w:rPr>
          <w:color w:val="000000"/>
        </w:rPr>
        <w:t>s conduct</w:t>
      </w:r>
      <w:r w:rsidR="00FA79C1">
        <w:rPr>
          <w:color w:val="000000"/>
        </w:rPr>
        <w:t xml:space="preserve">.”  </w:t>
      </w:r>
      <w:r>
        <w:rPr>
          <w:i/>
          <w:iCs/>
          <w:color w:val="000000"/>
        </w:rPr>
        <w:t xml:space="preserve">In re </w:t>
      </w:r>
      <w:r w:rsidR="006239B5">
        <w:rPr>
          <w:i/>
          <w:iCs/>
          <w:color w:val="000000"/>
        </w:rPr>
        <w:t>Oxy</w:t>
      </w:r>
      <w:r>
        <w:rPr>
          <w:i/>
          <w:iCs/>
          <w:color w:val="000000"/>
        </w:rPr>
        <w:t xml:space="preserve"> Pharma L.P.</w:t>
      </w:r>
      <w:r w:rsidR="008B54D4">
        <w:rPr>
          <w:color w:val="000000"/>
        </w:rPr>
        <w:t>,</w:t>
      </w:r>
      <w:r>
        <w:rPr>
          <w:color w:val="000000"/>
        </w:rPr>
        <w:t xml:space="preserve"> </w:t>
      </w:r>
      <w:hyperlink r:id="rId42" w:history="1">
        <w:r>
          <w:rPr>
            <w:color w:val="000000"/>
          </w:rPr>
          <w:t>2021 WL 4240974</w:t>
        </w:r>
      </w:hyperlink>
      <w:r w:rsidR="008B54D4">
        <w:rPr>
          <w:color w:val="000000"/>
        </w:rPr>
        <w:t>,</w:t>
      </w:r>
      <w:r>
        <w:rPr>
          <w:color w:val="000000"/>
        </w:rPr>
        <w:t xml:space="preserve"> at *43-47</w:t>
      </w:r>
      <w:r w:rsidR="006A227C">
        <w:rPr>
          <w:color w:val="000000"/>
        </w:rPr>
        <w:t xml:space="preserve">.  </w:t>
      </w:r>
      <w:r>
        <w:rPr>
          <w:color w:val="000000"/>
        </w:rPr>
        <w:t>Such a claim - one that “essentially dovetail[s] with the facts of the claimants</w:t>
      </w:r>
      <w:r w:rsidR="008B54D4">
        <w:rPr>
          <w:color w:val="000000"/>
        </w:rPr>
        <w:t>’</w:t>
      </w:r>
      <w:r>
        <w:rPr>
          <w:color w:val="000000"/>
        </w:rPr>
        <w:t xml:space="preserve"> third- party claims against the Debtors” - was</w:t>
      </w:r>
      <w:r w:rsidR="008B54D4">
        <w:rPr>
          <w:color w:val="000000"/>
        </w:rPr>
        <w:t>,</w:t>
      </w:r>
      <w:r>
        <w:rPr>
          <w:color w:val="000000"/>
        </w:rPr>
        <w:t xml:space="preserve"> in Judge </w:t>
      </w:r>
      <w:r w:rsidR="00E82FD6">
        <w:rPr>
          <w:color w:val="000000"/>
        </w:rPr>
        <w:t>Wains</w:t>
      </w:r>
      <w:r w:rsidR="008B54D4">
        <w:rPr>
          <w:color w:val="000000"/>
        </w:rPr>
        <w:t>’</w:t>
      </w:r>
      <w:r>
        <w:rPr>
          <w:color w:val="000000"/>
        </w:rPr>
        <w:t>s view</w:t>
      </w:r>
      <w:r w:rsidR="008B54D4">
        <w:rPr>
          <w:color w:val="000000"/>
        </w:rPr>
        <w:t>,</w:t>
      </w:r>
      <w:r>
        <w:rPr>
          <w:color w:val="000000"/>
        </w:rPr>
        <w:t xml:space="preserve"> “sufficiently close to the claims against the debtor to be subject to settlement under the debtor</w:t>
      </w:r>
      <w:r w:rsidR="008B54D4">
        <w:rPr>
          <w:color w:val="000000"/>
        </w:rPr>
        <w:t>’</w:t>
      </w:r>
      <w:r>
        <w:rPr>
          <w:color w:val="000000"/>
        </w:rPr>
        <w:t>s plan if enough other considerations support the settlement</w:t>
      </w:r>
      <w:r w:rsidR="00FA79C1">
        <w:rPr>
          <w:color w:val="000000"/>
        </w:rPr>
        <w:t xml:space="preserve">.”  </w:t>
      </w:r>
      <w:r w:rsidR="00FD7892">
        <w:rPr>
          <w:i/>
          <w:iCs/>
          <w:color w:val="000000"/>
        </w:rPr>
        <w:t xml:space="preserve">Id. </w:t>
      </w:r>
      <w:r>
        <w:rPr>
          <w:color w:val="000000"/>
        </w:rPr>
        <w:t>at *45-46.</w:t>
      </w:r>
    </w:p>
    <w:p w14:paraId="1F8AF2A9" w14:textId="125F5516" w:rsidR="00A77BBD" w:rsidRDefault="00A77BBD" w:rsidP="00A77BBD">
      <w:pPr>
        <w:pStyle w:val="BodyTextFirstIndent"/>
      </w:pPr>
      <w:r>
        <w:rPr>
          <w:color w:val="000000"/>
        </w:rPr>
        <w:t>As noted above</w:t>
      </w:r>
      <w:r w:rsidR="008B54D4">
        <w:rPr>
          <w:color w:val="000000"/>
        </w:rPr>
        <w:t>,</w:t>
      </w:r>
      <w:r>
        <w:rPr>
          <w:color w:val="000000"/>
        </w:rPr>
        <w:t xml:space="preserve"> Judge </w:t>
      </w:r>
      <w:r w:rsidR="00E82FD6">
        <w:rPr>
          <w:color w:val="000000"/>
        </w:rPr>
        <w:t>Wains</w:t>
      </w:r>
      <w:r>
        <w:rPr>
          <w:color w:val="000000"/>
        </w:rPr>
        <w:t xml:space="preserve"> did insist that the Section 10.7 Shareholder Release be modified so that it covered only third-party claims in which “a Debtor</w:t>
      </w:r>
      <w:r w:rsidR="008B54D4">
        <w:rPr>
          <w:color w:val="000000"/>
        </w:rPr>
        <w:t>’</w:t>
      </w:r>
      <w:r>
        <w:rPr>
          <w:color w:val="000000"/>
        </w:rPr>
        <w:t>s conduct</w:t>
      </w:r>
      <w:r w:rsidR="008B54D4">
        <w:rPr>
          <w:color w:val="000000"/>
        </w:rPr>
        <w:t>,</w:t>
      </w:r>
      <w:r>
        <w:rPr>
          <w:color w:val="000000"/>
        </w:rPr>
        <w:t xml:space="preserve"> or a claim asserted against the Debtor</w:t>
      </w:r>
      <w:r w:rsidR="008B54D4">
        <w:rPr>
          <w:color w:val="000000"/>
        </w:rPr>
        <w:t>,</w:t>
      </w:r>
      <w:r>
        <w:rPr>
          <w:color w:val="000000"/>
        </w:rPr>
        <w:t xml:space="preserve"> must be a legal cause of the released claim</w:t>
      </w:r>
      <w:r w:rsidR="008B54D4">
        <w:rPr>
          <w:color w:val="000000"/>
        </w:rPr>
        <w:t>,</w:t>
      </w:r>
      <w:r>
        <w:rPr>
          <w:color w:val="000000"/>
        </w:rPr>
        <w:t xml:space="preserve"> or a legally relevant factor to the third-party cause of action against the shareholder released party</w:t>
      </w:r>
      <w:r w:rsidR="00FA79C1">
        <w:rPr>
          <w:color w:val="000000"/>
        </w:rPr>
        <w:t xml:space="preserve">.”  </w:t>
      </w:r>
      <w:r w:rsidR="00FD7892">
        <w:rPr>
          <w:i/>
          <w:iCs/>
          <w:color w:val="000000"/>
        </w:rPr>
        <w:t xml:space="preserve">Id. </w:t>
      </w:r>
      <w:r>
        <w:rPr>
          <w:color w:val="000000"/>
        </w:rPr>
        <w:t>at *45</w:t>
      </w:r>
      <w:r w:rsidR="006A227C">
        <w:rPr>
          <w:color w:val="000000"/>
        </w:rPr>
        <w:t xml:space="preserve">.  </w:t>
      </w:r>
      <w:r>
        <w:rPr>
          <w:color w:val="000000"/>
        </w:rPr>
        <w:t>In other words</w:t>
      </w:r>
      <w:r w:rsidR="008B54D4">
        <w:rPr>
          <w:color w:val="000000"/>
        </w:rPr>
        <w:t>,</w:t>
      </w:r>
      <w:r>
        <w:rPr>
          <w:color w:val="000000"/>
        </w:rPr>
        <w:t xml:space="preserve"> he insisted that there be substantial factual overlap between the released particularized claims and the derivative claims that no one disputes he had the power to release</w:t>
      </w:r>
      <w:r w:rsidR="008B54D4">
        <w:rPr>
          <w:color w:val="000000"/>
        </w:rPr>
        <w:t>,</w:t>
      </w:r>
      <w:r>
        <w:rPr>
          <w:color w:val="000000"/>
        </w:rPr>
        <w:t xml:space="preserve"> such that the released non</w:t>
      </w:r>
      <w:r>
        <w:rPr>
          <w:color w:val="000000"/>
        </w:rPr>
        <w:softHyphen/>
        <w:t>derivative claims were “sufficiently close to the claims against the debtor.”</w:t>
      </w:r>
    </w:p>
    <w:p w14:paraId="308BF30B" w14:textId="07E1FE99" w:rsidR="00A77BBD" w:rsidRDefault="00A77BBD" w:rsidP="00A77BBD">
      <w:pPr>
        <w:pStyle w:val="BodyTextFirstIndent"/>
      </w:pPr>
      <w:r>
        <w:rPr>
          <w:b/>
          <w:bCs/>
          <w:i/>
          <w:iCs/>
          <w:color w:val="000000"/>
        </w:rPr>
        <w:t>Metromedia</w:t>
      </w:r>
      <w:r>
        <w:rPr>
          <w:b/>
          <w:bCs/>
          <w:color w:val="000000"/>
        </w:rPr>
        <w:t xml:space="preserve"> analysis</w:t>
      </w:r>
      <w:r w:rsidR="006A227C">
        <w:rPr>
          <w:b/>
          <w:bCs/>
          <w:color w:val="000000"/>
        </w:rPr>
        <w:t xml:space="preserve">.  </w:t>
      </w:r>
      <w:r>
        <w:rPr>
          <w:color w:val="000000"/>
        </w:rPr>
        <w:t>Having disposed of all constitutional</w:t>
      </w:r>
      <w:r w:rsidR="008B54D4">
        <w:rPr>
          <w:color w:val="000000"/>
        </w:rPr>
        <w:t>,</w:t>
      </w:r>
      <w:r>
        <w:rPr>
          <w:color w:val="000000"/>
        </w:rPr>
        <w:t xml:space="preserve"> jurisdictional</w:t>
      </w:r>
      <w:r w:rsidR="008B54D4">
        <w:rPr>
          <w:color w:val="000000"/>
        </w:rPr>
        <w:t>,</w:t>
      </w:r>
      <w:r>
        <w:rPr>
          <w:color w:val="000000"/>
        </w:rPr>
        <w:t xml:space="preserve"> and statutory challenges to his authority to enter the Section 10.7 Shareholder Release (as modified)</w:t>
      </w:r>
      <w:r w:rsidR="008B54D4">
        <w:rPr>
          <w:color w:val="000000"/>
        </w:rPr>
        <w:t>,</w:t>
      </w:r>
      <w:r>
        <w:rPr>
          <w:color w:val="000000"/>
        </w:rPr>
        <w:t xml:space="preserve"> Judge </w:t>
      </w:r>
      <w:r w:rsidR="00E82FD6">
        <w:rPr>
          <w:color w:val="000000"/>
        </w:rPr>
        <w:t>Wains</w:t>
      </w:r>
      <w:r>
        <w:rPr>
          <w:color w:val="000000"/>
        </w:rPr>
        <w:t xml:space="preserve"> turned finally to whether this was the “unique” case in which it would be was appropriate to impose them</w:t>
      </w:r>
      <w:r w:rsidR="006A227C">
        <w:rPr>
          <w:color w:val="000000"/>
        </w:rPr>
        <w:t xml:space="preserve">.  </w:t>
      </w:r>
      <w:r w:rsidR="00FD7892">
        <w:rPr>
          <w:i/>
          <w:iCs/>
          <w:color w:val="000000"/>
        </w:rPr>
        <w:t xml:space="preserve">Id. </w:t>
      </w:r>
      <w:r>
        <w:rPr>
          <w:color w:val="000000"/>
        </w:rPr>
        <w:t>at *46</w:t>
      </w:r>
      <w:r w:rsidR="006A227C">
        <w:rPr>
          <w:color w:val="000000"/>
        </w:rPr>
        <w:t xml:space="preserve">.  </w:t>
      </w:r>
      <w:r>
        <w:rPr>
          <w:color w:val="000000"/>
        </w:rPr>
        <w:t>He concluded that it was.</w:t>
      </w:r>
    </w:p>
    <w:p w14:paraId="03F7C8F0" w14:textId="20D2470D" w:rsidR="00A77BBD" w:rsidRDefault="00A77BBD" w:rsidP="00A77BBD">
      <w:pPr>
        <w:pStyle w:val="BodyTextFirstIndent"/>
      </w:pPr>
      <w:r>
        <w:rPr>
          <w:color w:val="000000"/>
        </w:rPr>
        <w:t>In this regard</w:t>
      </w:r>
      <w:r w:rsidR="008B54D4">
        <w:rPr>
          <w:color w:val="000000"/>
        </w:rPr>
        <w:t>,</w:t>
      </w:r>
      <w:r>
        <w:rPr>
          <w:color w:val="000000"/>
        </w:rPr>
        <w:t xml:space="preserve"> he reviewed the law in the various circuits on the subject</w:t>
      </w:r>
      <w:r w:rsidR="008B54D4">
        <w:rPr>
          <w:color w:val="000000"/>
        </w:rPr>
        <w:t>,</w:t>
      </w:r>
      <w:r>
        <w:rPr>
          <w:color w:val="000000"/>
        </w:rPr>
        <w:t xml:space="preserve"> viewing with special interest the Third Circuit</w:t>
      </w:r>
      <w:r w:rsidR="008B54D4">
        <w:rPr>
          <w:color w:val="000000"/>
        </w:rPr>
        <w:t>’</w:t>
      </w:r>
      <w:r>
        <w:rPr>
          <w:color w:val="000000"/>
        </w:rPr>
        <w:t>s conclusion that:</w:t>
      </w:r>
    </w:p>
    <w:p w14:paraId="53E44DCB" w14:textId="335F451D" w:rsidR="00A77BBD" w:rsidRDefault="00A77BBD" w:rsidP="009B6652">
      <w:pPr>
        <w:pStyle w:val="BlockText"/>
      </w:pPr>
      <w:r>
        <w:t xml:space="preserve">“To grant non-consensual releases a court must assess </w:t>
      </w:r>
      <w:r w:rsidR="008B54D4">
        <w:t>‘</w:t>
      </w:r>
      <w:r>
        <w:t>fairness</w:t>
      </w:r>
      <w:r w:rsidR="008B54D4">
        <w:t>,</w:t>
      </w:r>
      <w:r>
        <w:t xml:space="preserve"> necessity to the reorganization</w:t>
      </w:r>
      <w:r w:rsidR="008B54D4">
        <w:t>’</w:t>
      </w:r>
      <w:r>
        <w:t xml:space="preserve"> and make specific actual findings to support these conclusions</w:t>
      </w:r>
      <w:r w:rsidR="00FA79C1">
        <w:t xml:space="preserve">.”  </w:t>
      </w:r>
      <w:r>
        <w:rPr>
          <w:i/>
          <w:iCs/>
        </w:rPr>
        <w:t>In re Cont</w:t>
      </w:r>
      <w:r w:rsidR="008B54D4">
        <w:rPr>
          <w:i/>
          <w:iCs/>
        </w:rPr>
        <w:t>’</w:t>
      </w:r>
      <w:r>
        <w:rPr>
          <w:i/>
          <w:iCs/>
        </w:rPr>
        <w:t>l Airlines</w:t>
      </w:r>
      <w:r w:rsidR="008B54D4">
        <w:t>,</w:t>
      </w:r>
      <w:r>
        <w:t xml:space="preserve"> </w:t>
      </w:r>
      <w:hyperlink r:id="rId43" w:history="1">
        <w:r>
          <w:t>203 F</w:t>
        </w:r>
        <w:r w:rsidR="006A227C">
          <w:t xml:space="preserve">. </w:t>
        </w:r>
        <w:r>
          <w:t>3d 203</w:t>
        </w:r>
        <w:r w:rsidR="008B54D4">
          <w:t>,</w:t>
        </w:r>
        <w:r>
          <w:t xml:space="preserve"> 214</w:t>
        </w:r>
      </w:hyperlink>
      <w:r>
        <w:t xml:space="preserve"> (3d </w:t>
      </w:r>
      <w:r w:rsidR="00E97455">
        <w:t xml:space="preserve">Cir. </w:t>
      </w:r>
      <w:r>
        <w:t>2001)</w:t>
      </w:r>
      <w:r w:rsidR="006A227C">
        <w:t xml:space="preserve">.  </w:t>
      </w:r>
      <w:r>
        <w:t>Relevant consideration might include whether the non-consensual release is necessary to the success of the reorganization; whether the releasees have provided a critical financial contribution to the debtor</w:t>
      </w:r>
      <w:r w:rsidR="008B54D4">
        <w:t>’</w:t>
      </w:r>
      <w:r>
        <w:t>s plan and whether that financial contribution is necessary to make the plan feasible; and whether the non-consenting creditors received reasonable compensation in exchange for the release</w:t>
      </w:r>
      <w:r w:rsidR="008B54D4">
        <w:t>,</w:t>
      </w:r>
      <w:r>
        <w:t xml:space="preserve"> such that the release is fair</w:t>
      </w:r>
      <w:r w:rsidR="00FA79C1">
        <w:t xml:space="preserve">.”  </w:t>
      </w:r>
      <w:r>
        <w:rPr>
          <w:i/>
          <w:iCs/>
        </w:rPr>
        <w:t>In re Spansion</w:t>
      </w:r>
      <w:r w:rsidR="008B54D4">
        <w:rPr>
          <w:i/>
          <w:iCs/>
        </w:rPr>
        <w:t>,</w:t>
      </w:r>
      <w:r>
        <w:rPr>
          <w:i/>
          <w:iCs/>
        </w:rPr>
        <w:t xml:space="preserve"> Inc.</w:t>
      </w:r>
      <w:r w:rsidR="008B54D4" w:rsidRPr="00E97455">
        <w:t>,</w:t>
      </w:r>
      <w:r>
        <w:t xml:space="preserve"> </w:t>
      </w:r>
      <w:hyperlink r:id="rId44" w:history="1">
        <w:r>
          <w:t xml:space="preserve">426 </w:t>
        </w:r>
        <w:r w:rsidR="00755A0D">
          <w:t xml:space="preserve">B.R. </w:t>
        </w:r>
        <w:r>
          <w:t>114</w:t>
        </w:r>
        <w:r w:rsidR="008B54D4">
          <w:t>,</w:t>
        </w:r>
        <w:r>
          <w:t xml:space="preserve"> 144</w:t>
        </w:r>
      </w:hyperlink>
      <w:r>
        <w:t xml:space="preserve"> (</w:t>
      </w:r>
      <w:r w:rsidR="00777BAE">
        <w:t xml:space="preserve">Bankr. </w:t>
      </w:r>
      <w:r>
        <w:t>D</w:t>
      </w:r>
      <w:r w:rsidR="006A227C">
        <w:t xml:space="preserve">. </w:t>
      </w:r>
      <w:r>
        <w:t>Del 2010).</w:t>
      </w:r>
    </w:p>
    <w:p w14:paraId="78893DD5" w14:textId="600D3C0D" w:rsidR="00A77BBD" w:rsidRDefault="00A77BBD" w:rsidP="009B6652">
      <w:pPr>
        <w:pStyle w:val="BodyTextFirstIndent"/>
        <w:ind w:firstLine="0"/>
      </w:pPr>
      <w:r>
        <w:rPr>
          <w:i/>
          <w:iCs/>
          <w:color w:val="000000"/>
        </w:rPr>
        <w:t xml:space="preserve">In re </w:t>
      </w:r>
      <w:r w:rsidR="006239B5">
        <w:rPr>
          <w:i/>
          <w:iCs/>
          <w:color w:val="000000"/>
        </w:rPr>
        <w:t>Oxy</w:t>
      </w:r>
      <w:r>
        <w:rPr>
          <w:i/>
          <w:iCs/>
          <w:color w:val="000000"/>
        </w:rPr>
        <w:t xml:space="preserve"> Pharma L.P.</w:t>
      </w:r>
      <w:r w:rsidR="008B54D4">
        <w:rPr>
          <w:color w:val="000000"/>
        </w:rPr>
        <w:t>,</w:t>
      </w:r>
      <w:r>
        <w:rPr>
          <w:color w:val="000000"/>
        </w:rPr>
        <w:t xml:space="preserve"> </w:t>
      </w:r>
      <w:hyperlink r:id="rId45" w:history="1">
        <w:r>
          <w:rPr>
            <w:color w:val="000000"/>
          </w:rPr>
          <w:t>2021 WL 4240974</w:t>
        </w:r>
      </w:hyperlink>
      <w:r w:rsidR="008B54D4">
        <w:rPr>
          <w:color w:val="000000"/>
        </w:rPr>
        <w:t>,</w:t>
      </w:r>
      <w:r>
        <w:rPr>
          <w:color w:val="000000"/>
        </w:rPr>
        <w:t xml:space="preserve"> at *46.</w:t>
      </w:r>
    </w:p>
    <w:p w14:paraId="44161375" w14:textId="4E1062C6" w:rsidR="00A77BBD" w:rsidRDefault="00A77BBD" w:rsidP="00A77BBD">
      <w:pPr>
        <w:pStyle w:val="BodyTextFirstIndent"/>
      </w:pPr>
      <w:r>
        <w:rPr>
          <w:color w:val="000000"/>
        </w:rPr>
        <w:t xml:space="preserve">Judge </w:t>
      </w:r>
      <w:r w:rsidR="00E82FD6">
        <w:rPr>
          <w:color w:val="000000"/>
        </w:rPr>
        <w:t>Wains</w:t>
      </w:r>
      <w:r>
        <w:rPr>
          <w:color w:val="000000"/>
        </w:rPr>
        <w:t xml:space="preserve"> also cited with approval the Seventh Circuit</w:t>
      </w:r>
      <w:r w:rsidR="008B54D4">
        <w:rPr>
          <w:color w:val="000000"/>
        </w:rPr>
        <w:t>’</w:t>
      </w:r>
      <w:r>
        <w:rPr>
          <w:color w:val="000000"/>
        </w:rPr>
        <w:t>s practice of engaging in a fact- based inquiry into such matters as whether the release is “narrowly tailored</w:t>
      </w:r>
      <w:r w:rsidR="008B54D4">
        <w:rPr>
          <w:color w:val="000000"/>
        </w:rPr>
        <w:t>,</w:t>
      </w:r>
      <w:r>
        <w:rPr>
          <w:color w:val="000000"/>
        </w:rPr>
        <w:t xml:space="preserve"> not blanket” (unlike the Section 10.7 Shareholder Release</w:t>
      </w:r>
      <w:r w:rsidR="008B54D4">
        <w:rPr>
          <w:color w:val="000000"/>
        </w:rPr>
        <w:t>,</w:t>
      </w:r>
      <w:r>
        <w:rPr>
          <w:color w:val="000000"/>
        </w:rPr>
        <w:t xml:space="preserve"> which releases all types of conduct</w:t>
      </w:r>
      <w:r w:rsidR="008B54D4">
        <w:rPr>
          <w:color w:val="000000"/>
        </w:rPr>
        <w:t>,</w:t>
      </w:r>
      <w:r>
        <w:rPr>
          <w:color w:val="000000"/>
        </w:rPr>
        <w:t xml:space="preserve"> including fraud and willful misconduct); whether the release is an essential component of the plan; and whether it was achieved by the exchange of good and valuable consideration that will enable unsecured creditors to realize distributions (which is in fact going to happen in this case)</w:t>
      </w:r>
      <w:r w:rsidR="006A227C">
        <w:rPr>
          <w:color w:val="000000"/>
        </w:rPr>
        <w:t xml:space="preserve">.  </w:t>
      </w:r>
      <w:r w:rsidR="00FD7892">
        <w:rPr>
          <w:i/>
          <w:iCs/>
          <w:color w:val="000000"/>
        </w:rPr>
        <w:t xml:space="preserve">Id. </w:t>
      </w:r>
      <w:r>
        <w:rPr>
          <w:color w:val="000000"/>
        </w:rPr>
        <w:t>at *47.</w:t>
      </w:r>
    </w:p>
    <w:p w14:paraId="1DF54BBE" w14:textId="4A2FDEA3" w:rsidR="00A77BBD" w:rsidRDefault="00A77BBD" w:rsidP="00A77BBD">
      <w:pPr>
        <w:pStyle w:val="BodyTextFirstIndent"/>
      </w:pPr>
      <w:r>
        <w:rPr>
          <w:color w:val="000000"/>
        </w:rPr>
        <w:t xml:space="preserve">Judge </w:t>
      </w:r>
      <w:r w:rsidR="00E82FD6">
        <w:rPr>
          <w:color w:val="000000"/>
        </w:rPr>
        <w:t>Wains</w:t>
      </w:r>
      <w:r>
        <w:rPr>
          <w:color w:val="000000"/>
        </w:rPr>
        <w:t xml:space="preserve"> also noted that the Fourth</w:t>
      </w:r>
      <w:r w:rsidR="008B54D4">
        <w:rPr>
          <w:color w:val="000000"/>
        </w:rPr>
        <w:t>,</w:t>
      </w:r>
      <w:r>
        <w:rPr>
          <w:color w:val="000000"/>
        </w:rPr>
        <w:t xml:space="preserve"> Sixth and Eleventh Circuits apply a multi-factor test in deciding when it is appropriate to impose a non-consensual release of third-party claims</w:t>
      </w:r>
      <w:r w:rsidR="006A227C">
        <w:rPr>
          <w:color w:val="000000"/>
        </w:rPr>
        <w:t xml:space="preserve">.  </w:t>
      </w:r>
      <w:r>
        <w:rPr>
          <w:color w:val="000000"/>
        </w:rPr>
        <w:t>(</w:t>
      </w:r>
      <w:r w:rsidR="00FD7892">
        <w:rPr>
          <w:i/>
          <w:iCs/>
          <w:color w:val="000000"/>
        </w:rPr>
        <w:t xml:space="preserve">Id. </w:t>
      </w:r>
      <w:r>
        <w:rPr>
          <w:color w:val="000000"/>
        </w:rPr>
        <w:t>at *46).</w:t>
      </w:r>
    </w:p>
    <w:p w14:paraId="66678280" w14:textId="7E63A821" w:rsidR="00A77BBD" w:rsidRDefault="00A77BBD" w:rsidP="00A77BBD">
      <w:pPr>
        <w:pStyle w:val="BodyTextFirstIndent"/>
      </w:pPr>
      <w:r>
        <w:rPr>
          <w:color w:val="000000"/>
        </w:rPr>
        <w:t>Then</w:t>
      </w:r>
      <w:r w:rsidR="008B54D4">
        <w:rPr>
          <w:color w:val="000000"/>
        </w:rPr>
        <w:t>,</w:t>
      </w:r>
      <w:r>
        <w:rPr>
          <w:color w:val="000000"/>
        </w:rPr>
        <w:t xml:space="preserve"> while recognizing that “this is not a matter of factors or prongs” (</w:t>
      </w:r>
      <w:r w:rsidR="00FD7892">
        <w:rPr>
          <w:i/>
          <w:iCs/>
          <w:color w:val="000000"/>
        </w:rPr>
        <w:t xml:space="preserve">Id. </w:t>
      </w:r>
      <w:r>
        <w:rPr>
          <w:color w:val="000000"/>
        </w:rPr>
        <w:t xml:space="preserve">citing </w:t>
      </w:r>
      <w:r>
        <w:rPr>
          <w:i/>
          <w:iCs/>
          <w:color w:val="000000"/>
        </w:rPr>
        <w:t>Metromedia</w:t>
      </w:r>
      <w:r w:rsidR="008B54D4">
        <w:rPr>
          <w:color w:val="000000"/>
        </w:rPr>
        <w:t>,</w:t>
      </w:r>
      <w:r>
        <w:rPr>
          <w:color w:val="000000"/>
        </w:rPr>
        <w:t xml:space="preserve"> </w:t>
      </w:r>
      <w:hyperlink r:id="rId46" w:history="1">
        <w:r>
          <w:rPr>
            <w:color w:val="000000"/>
          </w:rPr>
          <w:t xml:space="preserve">416 </w:t>
        </w:r>
        <w:r w:rsidR="000F32DE">
          <w:rPr>
            <w:color w:val="000000"/>
          </w:rPr>
          <w:t>F.</w:t>
        </w:r>
        <w:r>
          <w:rPr>
            <w:color w:val="000000"/>
          </w:rPr>
          <w:t>3d at 142</w:t>
        </w:r>
      </w:hyperlink>
      <w:r>
        <w:rPr>
          <w:color w:val="000000"/>
        </w:rPr>
        <w:t>)</w:t>
      </w:r>
      <w:r w:rsidR="008B54D4">
        <w:rPr>
          <w:color w:val="000000"/>
        </w:rPr>
        <w:t>,</w:t>
      </w:r>
      <w:r>
        <w:rPr>
          <w:color w:val="000000"/>
        </w:rPr>
        <w:t xml:space="preserve"> Judge </w:t>
      </w:r>
      <w:r w:rsidR="00E82FD6">
        <w:rPr>
          <w:color w:val="000000"/>
        </w:rPr>
        <w:t>Wains</w:t>
      </w:r>
      <w:r>
        <w:rPr>
          <w:color w:val="000000"/>
        </w:rPr>
        <w:t xml:space="preserve"> made a long list of findings about why this was the “rare” and “unique” case in which a nonconsensual third-party claims release was appropriate</w:t>
      </w:r>
      <w:r w:rsidR="006A227C">
        <w:rPr>
          <w:color w:val="000000"/>
        </w:rPr>
        <w:t xml:space="preserve">.  </w:t>
      </w:r>
      <w:r w:rsidR="00FD7892">
        <w:rPr>
          <w:i/>
          <w:iCs/>
          <w:color w:val="000000"/>
        </w:rPr>
        <w:t xml:space="preserve">Id. </w:t>
      </w:r>
      <w:r>
        <w:rPr>
          <w:color w:val="000000"/>
        </w:rPr>
        <w:t>at *46-49</w:t>
      </w:r>
      <w:r w:rsidR="006A227C">
        <w:rPr>
          <w:color w:val="000000"/>
        </w:rPr>
        <w:t xml:space="preserve">.  </w:t>
      </w:r>
      <w:r>
        <w:rPr>
          <w:color w:val="000000"/>
        </w:rPr>
        <w:t>These include the following:  (</w:t>
      </w:r>
      <w:r w:rsidR="00E21AF3">
        <w:rPr>
          <w:color w:val="000000"/>
        </w:rPr>
        <w:t>1</w:t>
      </w:r>
      <w:r>
        <w:rPr>
          <w:color w:val="000000"/>
        </w:rPr>
        <w:t xml:space="preserve">) the </w:t>
      </w:r>
      <w:r w:rsidR="006239B5">
        <w:rPr>
          <w:color w:val="000000"/>
        </w:rPr>
        <w:t>Oxy</w:t>
      </w:r>
      <w:r>
        <w:rPr>
          <w:color w:val="000000"/>
        </w:rPr>
        <w:t xml:space="preserve"> bankruptcy was exceedingly complex; (</w:t>
      </w:r>
      <w:r w:rsidR="00E21AF3">
        <w:rPr>
          <w:color w:val="000000"/>
        </w:rPr>
        <w:t>2</w:t>
      </w:r>
      <w:r>
        <w:rPr>
          <w:color w:val="000000"/>
        </w:rPr>
        <w:t>) the Plan has overwhelming creditor support; (</w:t>
      </w:r>
      <w:r w:rsidR="00E21AF3">
        <w:rPr>
          <w:color w:val="000000"/>
        </w:rPr>
        <w:t>3</w:t>
      </w:r>
      <w:r>
        <w:rPr>
          <w:color w:val="000000"/>
        </w:rPr>
        <w:t xml:space="preserve">) without the </w:t>
      </w:r>
      <w:r w:rsidR="00E82FD6">
        <w:rPr>
          <w:color w:val="000000"/>
        </w:rPr>
        <w:t>Packler</w:t>
      </w:r>
      <w:r>
        <w:rPr>
          <w:color w:val="000000"/>
        </w:rPr>
        <w:t xml:space="preserve"> payment the settlements would unravel; (</w:t>
      </w:r>
      <w:r w:rsidR="00E21AF3">
        <w:rPr>
          <w:color w:val="000000"/>
        </w:rPr>
        <w:t>4</w:t>
      </w:r>
      <w:r>
        <w:rPr>
          <w:color w:val="000000"/>
        </w:rPr>
        <w:t xml:space="preserve">) while not every </w:t>
      </w:r>
      <w:r w:rsidR="00E82FD6">
        <w:rPr>
          <w:color w:val="000000"/>
        </w:rPr>
        <w:t>Packler</w:t>
      </w:r>
      <w:r>
        <w:rPr>
          <w:color w:val="000000"/>
        </w:rPr>
        <w:t xml:space="preserve"> would be making a specific payment toward the settlement</w:t>
      </w:r>
      <w:r w:rsidR="008B54D4">
        <w:rPr>
          <w:color w:val="000000"/>
        </w:rPr>
        <w:t>,</w:t>
      </w:r>
      <w:r>
        <w:rPr>
          <w:rStyle w:val="FootnoteReference"/>
          <w:rFonts w:eastAsia="Times New Roman" w:cs="Times New Roman"/>
          <w:color w:val="000000"/>
          <w:vertAlign w:val="superscript"/>
        </w:rPr>
        <w:footnoteReference w:id="24"/>
      </w:r>
      <w:r>
        <w:rPr>
          <w:color w:val="000000"/>
        </w:rPr>
        <w:t xml:space="preserve"> the aggregate settlement payment hinged on each member of the family</w:t>
      </w:r>
      <w:r w:rsidR="008B54D4">
        <w:rPr>
          <w:color w:val="000000"/>
        </w:rPr>
        <w:t>’</w:t>
      </w:r>
      <w:r>
        <w:rPr>
          <w:color w:val="000000"/>
        </w:rPr>
        <w:t>s being released; (</w:t>
      </w:r>
      <w:r w:rsidR="00E21AF3">
        <w:rPr>
          <w:color w:val="000000"/>
        </w:rPr>
        <w:t>5</w:t>
      </w:r>
      <w:r>
        <w:rPr>
          <w:color w:val="000000"/>
        </w:rPr>
        <w:t>) the settlement amount was substantial; (</w:t>
      </w:r>
      <w:r w:rsidR="00E21AF3">
        <w:rPr>
          <w:color w:val="000000"/>
        </w:rPr>
        <w:t>6</w:t>
      </w:r>
      <w:r>
        <w:rPr>
          <w:color w:val="000000"/>
        </w:rPr>
        <w:t>) the release “is narrowly tailored;”</w:t>
      </w:r>
      <w:r>
        <w:rPr>
          <w:rStyle w:val="FootnoteReference"/>
          <w:rFonts w:eastAsia="Times New Roman" w:cs="Times New Roman"/>
          <w:color w:val="000000"/>
          <w:vertAlign w:val="superscript"/>
        </w:rPr>
        <w:footnoteReference w:id="25"/>
      </w:r>
      <w:r>
        <w:rPr>
          <w:color w:val="000000"/>
        </w:rPr>
        <w:t xml:space="preserve"> (</w:t>
      </w:r>
      <w:r w:rsidR="00E21AF3">
        <w:rPr>
          <w:color w:val="000000"/>
        </w:rPr>
        <w:t>7</w:t>
      </w:r>
      <w:r>
        <w:rPr>
          <w:color w:val="000000"/>
        </w:rPr>
        <w:t>) the settlement was fundamentally fair to the third parties; and (</w:t>
      </w:r>
      <w:r w:rsidR="00E21AF3">
        <w:rPr>
          <w:color w:val="000000"/>
        </w:rPr>
        <w:t>8</w:t>
      </w:r>
      <w:r>
        <w:rPr>
          <w:color w:val="000000"/>
        </w:rPr>
        <w:t xml:space="preserve">) for the reasons discussed at length </w:t>
      </w:r>
      <w:r>
        <w:rPr>
          <w:i/>
          <w:iCs/>
          <w:color w:val="000000"/>
        </w:rPr>
        <w:t>supra</w:t>
      </w:r>
      <w:r w:rsidR="008B54D4">
        <w:rPr>
          <w:color w:val="000000"/>
        </w:rPr>
        <w:t>,</w:t>
      </w:r>
      <w:r>
        <w:rPr>
          <w:color w:val="000000"/>
        </w:rPr>
        <w:t xml:space="preserve"> the cost and likelihood of success on the third party claims against the </w:t>
      </w:r>
      <w:r w:rsidR="00E82FD6">
        <w:rPr>
          <w:color w:val="000000"/>
        </w:rPr>
        <w:t>Packler</w:t>
      </w:r>
      <w:r>
        <w:rPr>
          <w:color w:val="000000"/>
        </w:rPr>
        <w:t>s - including both the merits and the impediments to collection of any judgment - was outweighed by the immediate and definite benefits of the settlement.</w:t>
      </w:r>
    </w:p>
    <w:p w14:paraId="2C065778" w14:textId="20C41727" w:rsidR="00A77BBD" w:rsidRDefault="00A77BBD" w:rsidP="00A77BBD">
      <w:pPr>
        <w:pStyle w:val="BodyTextFirstIndent"/>
      </w:pPr>
      <w:r>
        <w:rPr>
          <w:b/>
          <w:bCs/>
          <w:color w:val="000000"/>
        </w:rPr>
        <w:t>“Best interests” analysis</w:t>
      </w:r>
      <w:r w:rsidR="006A227C">
        <w:rPr>
          <w:b/>
          <w:bCs/>
          <w:color w:val="000000"/>
        </w:rPr>
        <w:t xml:space="preserve">.  </w:t>
      </w:r>
      <w:r>
        <w:rPr>
          <w:color w:val="000000"/>
        </w:rPr>
        <w:t>Section 1129 of the Bankruptcy Code requires that a plan of reorganization may be confirmed only if a litany of requirements is met</w:t>
      </w:r>
      <w:r w:rsidR="006A227C">
        <w:rPr>
          <w:color w:val="000000"/>
        </w:rPr>
        <w:t xml:space="preserve">.  </w:t>
      </w:r>
      <w:r>
        <w:rPr>
          <w:color w:val="000000"/>
        </w:rPr>
        <w:t>One such requirement is found in Subsection (a)(7) of Section 1129</w:t>
      </w:r>
      <w:r w:rsidR="008B54D4">
        <w:rPr>
          <w:color w:val="000000"/>
        </w:rPr>
        <w:t>,</w:t>
      </w:r>
      <w:r>
        <w:rPr>
          <w:color w:val="000000"/>
        </w:rPr>
        <w:t xml:space="preserve"> which provides that</w:t>
      </w:r>
      <w:r w:rsidR="008B54D4">
        <w:rPr>
          <w:color w:val="000000"/>
        </w:rPr>
        <w:t>,</w:t>
      </w:r>
      <w:r>
        <w:rPr>
          <w:color w:val="000000"/>
        </w:rPr>
        <w:t xml:space="preserve"> for any impaired creditor or class of creditors</w:t>
      </w:r>
      <w:r w:rsidR="008B54D4">
        <w:rPr>
          <w:color w:val="000000"/>
        </w:rPr>
        <w:t>,</w:t>
      </w:r>
      <w:r>
        <w:rPr>
          <w:color w:val="000000"/>
        </w:rPr>
        <w:t xml:space="preserve"> if all members of the class do not approve the plan</w:t>
      </w:r>
      <w:r w:rsidR="008B54D4">
        <w:rPr>
          <w:color w:val="000000"/>
        </w:rPr>
        <w:t>,</w:t>
      </w:r>
      <w:r>
        <w:rPr>
          <w:color w:val="000000"/>
        </w:rPr>
        <w:t xml:space="preserve"> each member of the class “will receive or retain under the plan on account of such claim or interest property of a value</w:t>
      </w:r>
      <w:r w:rsidR="008B54D4">
        <w:rPr>
          <w:color w:val="000000"/>
        </w:rPr>
        <w:t>,</w:t>
      </w:r>
      <w:r>
        <w:rPr>
          <w:color w:val="000000"/>
        </w:rPr>
        <w:t xml:space="preserve"> as of the effective date of the plan</w:t>
      </w:r>
      <w:r w:rsidR="008B54D4">
        <w:rPr>
          <w:color w:val="000000"/>
        </w:rPr>
        <w:t>,</w:t>
      </w:r>
      <w:r>
        <w:rPr>
          <w:color w:val="000000"/>
        </w:rPr>
        <w:t xml:space="preserve"> that is not less than the amount that such holder would so receive or retain if the debtor were liquidated under chapter 7 of this title on such date</w:t>
      </w:r>
      <w:r w:rsidR="00FA79C1">
        <w:rPr>
          <w:color w:val="000000"/>
        </w:rPr>
        <w:t xml:space="preserve">.”  </w:t>
      </w:r>
      <w:r>
        <w:rPr>
          <w:i/>
          <w:iCs/>
          <w:color w:val="000000"/>
        </w:rPr>
        <w:t xml:space="preserve">In re </w:t>
      </w:r>
      <w:r w:rsidR="006239B5">
        <w:rPr>
          <w:i/>
          <w:iCs/>
          <w:color w:val="000000"/>
        </w:rPr>
        <w:t>Oxy</w:t>
      </w:r>
      <w:r>
        <w:rPr>
          <w:i/>
          <w:iCs/>
          <w:color w:val="000000"/>
        </w:rPr>
        <w:t xml:space="preserve"> Pharma L.P.</w:t>
      </w:r>
      <w:r w:rsidR="008B54D4">
        <w:rPr>
          <w:color w:val="000000"/>
        </w:rPr>
        <w:t>,</w:t>
      </w:r>
      <w:r>
        <w:rPr>
          <w:color w:val="000000"/>
        </w:rPr>
        <w:t xml:space="preserve"> </w:t>
      </w:r>
      <w:hyperlink r:id="rId47" w:history="1">
        <w:r>
          <w:rPr>
            <w:color w:val="000000"/>
          </w:rPr>
          <w:t>2021 WL 4240974</w:t>
        </w:r>
      </w:hyperlink>
      <w:r w:rsidR="008B54D4">
        <w:rPr>
          <w:color w:val="000000"/>
        </w:rPr>
        <w:t>,</w:t>
      </w:r>
      <w:r>
        <w:rPr>
          <w:color w:val="000000"/>
        </w:rPr>
        <w:t xml:space="preserve"> at *50.</w:t>
      </w:r>
    </w:p>
    <w:p w14:paraId="0A5670D0" w14:textId="6A812790" w:rsidR="00A77BBD" w:rsidRDefault="00A77BBD" w:rsidP="00A77BBD">
      <w:pPr>
        <w:pStyle w:val="BodyTextFirstIndent"/>
      </w:pPr>
      <w:r>
        <w:rPr>
          <w:color w:val="000000"/>
        </w:rPr>
        <w:t xml:space="preserve">Judge </w:t>
      </w:r>
      <w:r w:rsidR="00E82FD6">
        <w:rPr>
          <w:color w:val="000000"/>
        </w:rPr>
        <w:t>Wains</w:t>
      </w:r>
      <w:r>
        <w:rPr>
          <w:color w:val="000000"/>
        </w:rPr>
        <w:t xml:space="preserve"> applied this so-called “best interests” test to conclude that the holders of claims against non-debtor third parties would receive</w:t>
      </w:r>
      <w:r w:rsidR="008B54D4">
        <w:rPr>
          <w:color w:val="000000"/>
        </w:rPr>
        <w:t>,</w:t>
      </w:r>
      <w:r>
        <w:rPr>
          <w:color w:val="000000"/>
        </w:rPr>
        <w:t xml:space="preserve"> on account of the Plan (and taking into account their claims against the Debtors as well as the third parties)</w:t>
      </w:r>
      <w:r w:rsidR="008B54D4">
        <w:rPr>
          <w:color w:val="000000"/>
        </w:rPr>
        <w:t>,</w:t>
      </w:r>
      <w:r>
        <w:rPr>
          <w:color w:val="000000"/>
        </w:rPr>
        <w:t xml:space="preserve"> materially more than they would receive in a hypothetical chapter 7 liquidation.</w:t>
      </w:r>
      <w:r>
        <w:rPr>
          <w:rStyle w:val="FootnoteReference"/>
          <w:rFonts w:eastAsia="Times New Roman" w:cs="Times New Roman"/>
          <w:color w:val="000000"/>
          <w:vertAlign w:val="superscript"/>
        </w:rPr>
        <w:footnoteReference w:id="26"/>
      </w:r>
      <w:r>
        <w:rPr>
          <w:color w:val="000000"/>
        </w:rPr>
        <w:t xml:space="preserve"> </w:t>
      </w:r>
      <w:r w:rsidR="009A6D82">
        <w:rPr>
          <w:color w:val="000000"/>
        </w:rPr>
        <w:t xml:space="preserve"> </w:t>
      </w:r>
      <w:r w:rsidR="00FD7892">
        <w:rPr>
          <w:i/>
          <w:iCs/>
          <w:color w:val="000000"/>
        </w:rPr>
        <w:t xml:space="preserve">Id. </w:t>
      </w:r>
      <w:r>
        <w:rPr>
          <w:color w:val="000000"/>
        </w:rPr>
        <w:t>at *50-51.</w:t>
      </w:r>
    </w:p>
    <w:p w14:paraId="3132835A" w14:textId="281D9C2F" w:rsidR="00A77BBD" w:rsidRDefault="00A77BBD" w:rsidP="00A77BBD">
      <w:pPr>
        <w:pStyle w:val="BodyTextFirstIndent"/>
      </w:pPr>
      <w:r>
        <w:rPr>
          <w:b/>
          <w:bCs/>
          <w:color w:val="000000"/>
        </w:rPr>
        <w:t>State police powers</w:t>
      </w:r>
      <w:r w:rsidR="006A227C">
        <w:rPr>
          <w:b/>
          <w:bCs/>
          <w:color w:val="000000"/>
        </w:rPr>
        <w:t xml:space="preserve">.  </w:t>
      </w:r>
      <w:r>
        <w:rPr>
          <w:color w:val="000000"/>
        </w:rPr>
        <w:t xml:space="preserve">Judge </w:t>
      </w:r>
      <w:r w:rsidR="00E82FD6">
        <w:rPr>
          <w:color w:val="000000"/>
        </w:rPr>
        <w:t>Wains</w:t>
      </w:r>
      <w:r>
        <w:rPr>
          <w:color w:val="000000"/>
        </w:rPr>
        <w:t xml:space="preserve"> concluded that his ordering of the non-debtor releases did not violate state sovereignty or any state police power</w:t>
      </w:r>
      <w:r w:rsidR="006A227C">
        <w:rPr>
          <w:color w:val="000000"/>
        </w:rPr>
        <w:t xml:space="preserve">.  </w:t>
      </w:r>
      <w:r w:rsidR="00FD7892">
        <w:rPr>
          <w:i/>
          <w:iCs/>
          <w:color w:val="000000"/>
        </w:rPr>
        <w:t xml:space="preserve">Id. </w:t>
      </w:r>
      <w:r>
        <w:rPr>
          <w:color w:val="000000"/>
        </w:rPr>
        <w:t>at *51-53</w:t>
      </w:r>
      <w:r w:rsidR="006A227C">
        <w:rPr>
          <w:color w:val="000000"/>
        </w:rPr>
        <w:t xml:space="preserve">.  </w:t>
      </w:r>
      <w:r>
        <w:rPr>
          <w:color w:val="000000"/>
        </w:rPr>
        <w:t>He concluded that actions exempted from the automatic stay by virtue of Section 362(b)(4) were nonetheless subject to court- ordered (</w:t>
      </w:r>
      <w:r>
        <w:rPr>
          <w:i/>
          <w:iCs/>
          <w:color w:val="000000"/>
        </w:rPr>
        <w:t>i.e.</w:t>
      </w:r>
      <w:r w:rsidR="008B54D4">
        <w:rPr>
          <w:color w:val="000000"/>
        </w:rPr>
        <w:t>,</w:t>
      </w:r>
      <w:r>
        <w:rPr>
          <w:color w:val="000000"/>
        </w:rPr>
        <w:t xml:space="preserve"> not automatic) injunctive relief</w:t>
      </w:r>
      <w:r w:rsidR="008B54D4">
        <w:rPr>
          <w:color w:val="000000"/>
        </w:rPr>
        <w:t>,</w:t>
      </w:r>
      <w:r>
        <w:rPr>
          <w:color w:val="000000"/>
        </w:rPr>
        <w:t xml:space="preserve"> and that Congress</w:t>
      </w:r>
      <w:r w:rsidR="008B54D4">
        <w:rPr>
          <w:color w:val="000000"/>
        </w:rPr>
        <w:t>’</w:t>
      </w:r>
      <w:r>
        <w:rPr>
          <w:color w:val="000000"/>
        </w:rPr>
        <w:t xml:space="preserve"> express power under the bankruptcy clause of the Constitution to enact uniform bankruptcy laws overrode any state regulatory or sovereignty argument.</w:t>
      </w:r>
    </w:p>
    <w:p w14:paraId="79E5D87A" w14:textId="75960D70" w:rsidR="00A77BBD" w:rsidRDefault="00A77BBD" w:rsidP="00A77BBD">
      <w:pPr>
        <w:pStyle w:val="BodyTextFirstIndent"/>
      </w:pPr>
      <w:r>
        <w:rPr>
          <w:b/>
          <w:bCs/>
          <w:color w:val="000000"/>
        </w:rPr>
        <w:t>The classification of the Canadians</w:t>
      </w:r>
      <w:r w:rsidR="006A227C">
        <w:rPr>
          <w:color w:val="000000"/>
        </w:rPr>
        <w:t xml:space="preserve">.  </w:t>
      </w:r>
      <w:r>
        <w:rPr>
          <w:color w:val="000000"/>
        </w:rPr>
        <w:t>Finally</w:t>
      </w:r>
      <w:r w:rsidR="008B54D4">
        <w:rPr>
          <w:color w:val="000000"/>
        </w:rPr>
        <w:t>,</w:t>
      </w:r>
      <w:r>
        <w:rPr>
          <w:color w:val="000000"/>
        </w:rPr>
        <w:t xml:space="preserve"> Judge </w:t>
      </w:r>
      <w:r w:rsidR="00E82FD6">
        <w:rPr>
          <w:color w:val="000000"/>
        </w:rPr>
        <w:t>Wains</w:t>
      </w:r>
      <w:r>
        <w:rPr>
          <w:color w:val="000000"/>
        </w:rPr>
        <w:t xml:space="preserve"> addressed whether that the Canadian creditor</w:t>
      </w:r>
      <w:r w:rsidR="008B54D4">
        <w:rPr>
          <w:color w:val="000000"/>
        </w:rPr>
        <w:t>’</w:t>
      </w:r>
      <w:r>
        <w:rPr>
          <w:color w:val="000000"/>
        </w:rPr>
        <w:t>s classification as Class 11(c) creditors</w:t>
      </w:r>
      <w:r w:rsidR="008B54D4">
        <w:rPr>
          <w:color w:val="000000"/>
        </w:rPr>
        <w:t>,</w:t>
      </w:r>
      <w:r>
        <w:rPr>
          <w:color w:val="000000"/>
        </w:rPr>
        <w:t xml:space="preserve"> rather than as Class 4 and 5 creditors</w:t>
      </w:r>
      <w:r w:rsidR="008B54D4">
        <w:rPr>
          <w:color w:val="000000"/>
        </w:rPr>
        <w:t>,</w:t>
      </w:r>
      <w:r>
        <w:rPr>
          <w:color w:val="000000"/>
        </w:rPr>
        <w:t xml:space="preserve"> was impermissible</w:t>
      </w:r>
      <w:r w:rsidR="006A227C">
        <w:rPr>
          <w:color w:val="000000"/>
        </w:rPr>
        <w:t xml:space="preserve">.  </w:t>
      </w:r>
      <w:r>
        <w:rPr>
          <w:color w:val="000000"/>
        </w:rPr>
        <w:t>Certain Canadian creditor groups objected to the confirmation of the Plan</w:t>
      </w:r>
      <w:r w:rsidR="008B54D4">
        <w:rPr>
          <w:color w:val="000000"/>
        </w:rPr>
        <w:t>,</w:t>
      </w:r>
      <w:r>
        <w:rPr>
          <w:color w:val="000000"/>
        </w:rPr>
        <w:t xml:space="preserve"> arguing that they should be classified with the </w:t>
      </w:r>
      <w:r w:rsidR="002F10FB">
        <w:rPr>
          <w:color w:val="000000"/>
        </w:rPr>
        <w:t xml:space="preserve">U.S. </w:t>
      </w:r>
      <w:r>
        <w:rPr>
          <w:color w:val="000000"/>
        </w:rPr>
        <w:t>unsecured creditor groups in Classes 4 and 5 to participate in the opioid abatement trusts created under the Plan for those classes</w:t>
      </w:r>
      <w:r w:rsidR="008B54D4">
        <w:rPr>
          <w:color w:val="000000"/>
        </w:rPr>
        <w:t>,</w:t>
      </w:r>
      <w:r>
        <w:rPr>
          <w:color w:val="000000"/>
        </w:rPr>
        <w:t xml:space="preserve"> rather than receiving their pro rata share of the cash payment to Class 11(c)</w:t>
      </w:r>
      <w:r w:rsidR="006A227C">
        <w:rPr>
          <w:color w:val="000000"/>
        </w:rPr>
        <w:t xml:space="preserve">.  </w:t>
      </w:r>
      <w:r>
        <w:rPr>
          <w:color w:val="000000"/>
        </w:rPr>
        <w:t xml:space="preserve">But Judge </w:t>
      </w:r>
      <w:r w:rsidR="00E82FD6">
        <w:rPr>
          <w:color w:val="000000"/>
        </w:rPr>
        <w:t>Wains</w:t>
      </w:r>
      <w:r>
        <w:rPr>
          <w:color w:val="000000"/>
        </w:rPr>
        <w:t xml:space="preserve"> concluded that</w:t>
      </w:r>
      <w:r w:rsidR="008B54D4">
        <w:rPr>
          <w:color w:val="000000"/>
        </w:rPr>
        <w:t>,</w:t>
      </w:r>
      <w:r>
        <w:rPr>
          <w:color w:val="000000"/>
        </w:rPr>
        <w:t xml:space="preserve"> because there were legitimate reasons for separately classifying the Canadian unsecured creditors from there domestic counterparts</w:t>
      </w:r>
      <w:r w:rsidR="008B54D4">
        <w:rPr>
          <w:color w:val="000000"/>
        </w:rPr>
        <w:t>,</w:t>
      </w:r>
      <w:r>
        <w:rPr>
          <w:color w:val="000000"/>
        </w:rPr>
        <w:t xml:space="preserve"> the classification was perfectly permissible</w:t>
      </w:r>
      <w:r w:rsidR="006A227C">
        <w:rPr>
          <w:color w:val="000000"/>
        </w:rPr>
        <w:t xml:space="preserve">.  </w:t>
      </w:r>
      <w:r>
        <w:rPr>
          <w:color w:val="000000"/>
        </w:rPr>
        <w:t>First</w:t>
      </w:r>
      <w:r w:rsidR="008B54D4">
        <w:rPr>
          <w:color w:val="000000"/>
        </w:rPr>
        <w:t>,</w:t>
      </w:r>
      <w:r>
        <w:rPr>
          <w:color w:val="000000"/>
        </w:rPr>
        <w:t xml:space="preserve"> the Canadian creditors operate under “different regulatory regimes </w:t>
      </w:r>
      <w:r w:rsidR="00110F91">
        <w:rPr>
          <w:color w:val="000000"/>
        </w:rPr>
        <w:t xml:space="preserve">. . . </w:t>
      </w:r>
      <w:r>
        <w:rPr>
          <w:color w:val="000000"/>
        </w:rPr>
        <w:t>with regard to opioids and abatement” than their domestic counterparts</w:t>
      </w:r>
      <w:r w:rsidR="006A227C">
        <w:rPr>
          <w:color w:val="000000"/>
        </w:rPr>
        <w:t xml:space="preserve">.  </w:t>
      </w:r>
      <w:r>
        <w:rPr>
          <w:i/>
          <w:iCs/>
          <w:color w:val="000000"/>
        </w:rPr>
        <w:t xml:space="preserve">In re </w:t>
      </w:r>
      <w:r w:rsidR="006239B5">
        <w:rPr>
          <w:i/>
          <w:iCs/>
          <w:color w:val="000000"/>
        </w:rPr>
        <w:t>Oxy</w:t>
      </w:r>
      <w:r>
        <w:rPr>
          <w:i/>
          <w:iCs/>
          <w:color w:val="000000"/>
        </w:rPr>
        <w:t xml:space="preserve"> Pharma L.P.</w:t>
      </w:r>
      <w:r w:rsidR="008B54D4">
        <w:rPr>
          <w:color w:val="000000"/>
        </w:rPr>
        <w:t>,</w:t>
      </w:r>
      <w:r>
        <w:rPr>
          <w:color w:val="000000"/>
        </w:rPr>
        <w:t xml:space="preserve"> </w:t>
      </w:r>
      <w:hyperlink r:id="rId48" w:history="1">
        <w:r>
          <w:rPr>
            <w:color w:val="000000"/>
          </w:rPr>
          <w:t>2021 WL 4240974</w:t>
        </w:r>
      </w:hyperlink>
      <w:r w:rsidR="008B54D4">
        <w:rPr>
          <w:color w:val="000000"/>
        </w:rPr>
        <w:t>,</w:t>
      </w:r>
      <w:r>
        <w:rPr>
          <w:color w:val="000000"/>
        </w:rPr>
        <w:t xml:space="preserve"> at *12</w:t>
      </w:r>
      <w:r w:rsidR="006A227C">
        <w:rPr>
          <w:color w:val="000000"/>
        </w:rPr>
        <w:t xml:space="preserve">.  </w:t>
      </w:r>
      <w:r>
        <w:rPr>
          <w:color w:val="000000"/>
        </w:rPr>
        <w:t>And second</w:t>
      </w:r>
      <w:r w:rsidR="008B54D4">
        <w:rPr>
          <w:color w:val="000000"/>
        </w:rPr>
        <w:t>,</w:t>
      </w:r>
      <w:r>
        <w:rPr>
          <w:color w:val="000000"/>
        </w:rPr>
        <w:t xml:space="preserve"> “the allocation mediation conducted by Messrs</w:t>
      </w:r>
      <w:r w:rsidR="006A227C">
        <w:rPr>
          <w:color w:val="000000"/>
        </w:rPr>
        <w:t xml:space="preserve">.  </w:t>
      </w:r>
      <w:r>
        <w:rPr>
          <w:color w:val="000000"/>
        </w:rPr>
        <w:t>Feinberg and Phillips that resulted in the plan</w:t>
      </w:r>
      <w:r w:rsidR="008B54D4">
        <w:rPr>
          <w:color w:val="000000"/>
        </w:rPr>
        <w:t>’</w:t>
      </w:r>
      <w:r>
        <w:rPr>
          <w:color w:val="000000"/>
        </w:rPr>
        <w:t>s division of the Debtors</w:t>
      </w:r>
      <w:r w:rsidR="008B54D4">
        <w:rPr>
          <w:color w:val="000000"/>
        </w:rPr>
        <w:t>’</w:t>
      </w:r>
      <w:r>
        <w:rPr>
          <w:color w:val="000000"/>
        </w:rPr>
        <w:t xml:space="preserve"> assets </w:t>
      </w:r>
      <w:r w:rsidR="00110F91">
        <w:rPr>
          <w:color w:val="000000"/>
        </w:rPr>
        <w:t xml:space="preserve">. . . </w:t>
      </w:r>
      <w:r>
        <w:rPr>
          <w:color w:val="000000"/>
        </w:rPr>
        <w:t xml:space="preserve">involved only </w:t>
      </w:r>
      <w:r>
        <w:rPr>
          <w:i/>
          <w:iCs/>
          <w:color w:val="000000"/>
        </w:rPr>
        <w:t>U.S.-based</w:t>
      </w:r>
      <w:r>
        <w:rPr>
          <w:color w:val="000000"/>
        </w:rPr>
        <w:t xml:space="preserve"> public claimants with their own regulatory interests and characteristics</w:t>
      </w:r>
      <w:r w:rsidR="00FA79C1">
        <w:rPr>
          <w:color w:val="000000"/>
        </w:rPr>
        <w:t xml:space="preserve">.”  </w:t>
      </w:r>
      <w:r w:rsidR="00FD7892">
        <w:rPr>
          <w:i/>
          <w:iCs/>
          <w:color w:val="000000"/>
        </w:rPr>
        <w:t xml:space="preserve">Id. </w:t>
      </w:r>
      <w:r>
        <w:rPr>
          <w:color w:val="000000"/>
        </w:rPr>
        <w:t>(emphasis added).</w:t>
      </w:r>
    </w:p>
    <w:p w14:paraId="01AEB6C9" w14:textId="2BE17246" w:rsidR="00A77BBD" w:rsidRDefault="00A77BBD" w:rsidP="00777BAE">
      <w:pPr>
        <w:pStyle w:val="Heading2"/>
      </w:pPr>
      <w:r>
        <w:t>The Appeal</w:t>
      </w:r>
      <w:r w:rsidR="00E21AF3">
        <w:t xml:space="preserve"> to the District Court</w:t>
      </w:r>
      <w:r w:rsidR="00F73A4F">
        <w:t xml:space="preserve"> and its Decision</w:t>
      </w:r>
    </w:p>
    <w:p w14:paraId="6E67BE2B" w14:textId="5316D349" w:rsidR="00A77BBD" w:rsidRDefault="00A77BBD" w:rsidP="00A77BBD">
      <w:pPr>
        <w:pStyle w:val="BodyTextFirstIndent"/>
      </w:pPr>
      <w:r>
        <w:rPr>
          <w:color w:val="000000"/>
        </w:rPr>
        <w:t xml:space="preserve">The </w:t>
      </w:r>
      <w:r w:rsidR="002F10FB">
        <w:rPr>
          <w:color w:val="000000"/>
        </w:rPr>
        <w:t xml:space="preserve">U.S. </w:t>
      </w:r>
      <w:r>
        <w:rPr>
          <w:color w:val="000000"/>
        </w:rPr>
        <w:t>Trustee</w:t>
      </w:r>
      <w:r w:rsidR="008B54D4">
        <w:rPr>
          <w:color w:val="000000"/>
        </w:rPr>
        <w:t>,</w:t>
      </w:r>
      <w:r>
        <w:rPr>
          <w:color w:val="000000"/>
        </w:rPr>
        <w:t xml:space="preserve"> eight states</w:t>
      </w:r>
      <w:r w:rsidR="00251EF3">
        <w:rPr>
          <w:color w:val="000000"/>
        </w:rPr>
        <w:t>,</w:t>
      </w:r>
      <w:r>
        <w:rPr>
          <w:color w:val="000000"/>
        </w:rPr>
        <w:t xml:space="preserve"> D.C.</w:t>
      </w:r>
      <w:r w:rsidR="008B54D4">
        <w:rPr>
          <w:color w:val="000000"/>
        </w:rPr>
        <w:t>,</w:t>
      </w:r>
      <w:r>
        <w:rPr>
          <w:color w:val="000000"/>
        </w:rPr>
        <w:t xml:space="preserve"> certain Canadian municipalities and First Nation groups</w:t>
      </w:r>
      <w:r w:rsidR="008B54D4">
        <w:rPr>
          <w:color w:val="000000"/>
        </w:rPr>
        <w:t>,</w:t>
      </w:r>
      <w:r>
        <w:rPr>
          <w:color w:val="000000"/>
        </w:rPr>
        <w:t xml:space="preserve"> and five </w:t>
      </w:r>
      <w:r>
        <w:rPr>
          <w:i/>
          <w:iCs/>
          <w:color w:val="000000"/>
        </w:rPr>
        <w:t>pro se</w:t>
      </w:r>
      <w:r>
        <w:rPr>
          <w:color w:val="000000"/>
        </w:rPr>
        <w:t xml:space="preserve"> individuals filed notices of appeal of Judge </w:t>
      </w:r>
      <w:r w:rsidR="00E82FD6">
        <w:rPr>
          <w:color w:val="000000"/>
        </w:rPr>
        <w:t>Wains</w:t>
      </w:r>
      <w:r w:rsidR="008B54D4">
        <w:rPr>
          <w:color w:val="000000"/>
        </w:rPr>
        <w:t>’</w:t>
      </w:r>
      <w:r>
        <w:rPr>
          <w:color w:val="000000"/>
        </w:rPr>
        <w:t>s Confirmation Order in September 2021</w:t>
      </w:r>
      <w:r w:rsidR="006A227C">
        <w:rPr>
          <w:color w:val="000000"/>
        </w:rPr>
        <w:t xml:space="preserve">.  </w:t>
      </w:r>
    </w:p>
    <w:p w14:paraId="1CF774C1" w14:textId="2C79D10F" w:rsidR="00A77BBD" w:rsidRDefault="00A77BBD" w:rsidP="00A77BBD">
      <w:pPr>
        <w:pStyle w:val="BodyTextFirstIndent"/>
        <w:rPr>
          <w:color w:val="000000"/>
        </w:rPr>
      </w:pPr>
      <w:r>
        <w:rPr>
          <w:color w:val="000000"/>
        </w:rPr>
        <w:t>Among those who did not appeal the Plan were the UCC</w:t>
      </w:r>
      <w:r w:rsidR="008B54D4">
        <w:rPr>
          <w:color w:val="000000"/>
        </w:rPr>
        <w:t>,</w:t>
      </w:r>
      <w:r>
        <w:rPr>
          <w:color w:val="000000"/>
        </w:rPr>
        <w:t xml:space="preserve"> the ACH</w:t>
      </w:r>
      <w:r w:rsidR="008B54D4">
        <w:rPr>
          <w:color w:val="000000"/>
        </w:rPr>
        <w:t>,</w:t>
      </w:r>
      <w:r>
        <w:rPr>
          <w:color w:val="000000"/>
        </w:rPr>
        <w:t xml:space="preserve"> MSGE</w:t>
      </w:r>
      <w:r w:rsidR="008B54D4">
        <w:rPr>
          <w:color w:val="000000"/>
        </w:rPr>
        <w:t>,</w:t>
      </w:r>
      <w:r>
        <w:rPr>
          <w:color w:val="000000"/>
        </w:rPr>
        <w:t xml:space="preserve"> the PI Ad Hoc Group</w:t>
      </w:r>
      <w:r w:rsidR="008B54D4">
        <w:rPr>
          <w:color w:val="000000"/>
        </w:rPr>
        <w:t>,</w:t>
      </w:r>
      <w:r>
        <w:rPr>
          <w:color w:val="000000"/>
        </w:rPr>
        <w:t xml:space="preserve"> and other creditors supporting the Plan.</w:t>
      </w:r>
    </w:p>
    <w:p w14:paraId="5855FF3E" w14:textId="7EB04130" w:rsidR="00F73A4F" w:rsidRDefault="00F73A4F" w:rsidP="00A77BBD">
      <w:pPr>
        <w:pStyle w:val="BodyTextFirstIndent"/>
        <w:rPr>
          <w:color w:val="000000"/>
        </w:rPr>
      </w:pPr>
      <w:r>
        <w:rPr>
          <w:color w:val="000000"/>
        </w:rPr>
        <w:t>The District Court had appellate jurisdiction to review the Confirmation Order under 28 U.S.C. §158(a)(1).</w:t>
      </w:r>
    </w:p>
    <w:p w14:paraId="4AC1D442" w14:textId="02E9A27A" w:rsidR="00F73A4F" w:rsidRDefault="00F73A4F" w:rsidP="00A77BBD">
      <w:pPr>
        <w:pStyle w:val="BodyTextFirstIndent"/>
        <w:rPr>
          <w:color w:val="000000"/>
        </w:rPr>
      </w:pPr>
      <w:r>
        <w:rPr>
          <w:color w:val="000000"/>
        </w:rPr>
        <w:t>The District Court, in a carefully crafted opinion, reversed the Bankruptcy Court, vacating the Confirmation Order.  It did so because Judge Waitford found that the Bankruptcy Court lacked specific statutory authority under the Bankruptcy Code to order the release of direct claims of creditors, claimants and other entities against the Packlers and related entities, non-Debtor third parties.</w:t>
      </w:r>
    </w:p>
    <w:p w14:paraId="580ADAE4" w14:textId="573EB08F" w:rsidR="00F73A4F" w:rsidRDefault="00F73A4F" w:rsidP="00A77BBD">
      <w:pPr>
        <w:pStyle w:val="BodyTextFirstIndent"/>
      </w:pPr>
      <w:r>
        <w:rPr>
          <w:color w:val="000000"/>
        </w:rPr>
        <w:t>Each Appellant timely filed notices of appeal from the District Court’s order vacating the Confirmation Order and moved the District Court to certify its order so vacating, as necessary to this Court for interlocutory appeal under 28 U.S.C. §</w:t>
      </w:r>
      <w:r w:rsidR="008C2EFB">
        <w:rPr>
          <w:color w:val="000000"/>
        </w:rPr>
        <w:t>1292(b).  The District Court granted this motion and Oxy (and the other Appellants in connection with related motion practice) timely petitioned this Court for permission to appeal.  This Court granted such petitions.</w:t>
      </w:r>
    </w:p>
    <w:p w14:paraId="5C46D0C6" w14:textId="77777777" w:rsidR="00A77BBD" w:rsidRDefault="00A77BBD" w:rsidP="00777BAE">
      <w:pPr>
        <w:pStyle w:val="Heading1"/>
      </w:pPr>
      <w:r>
        <w:t>ISSUES ON APPEAL AND CONCLUSIONS OF LAW</w:t>
      </w:r>
    </w:p>
    <w:p w14:paraId="23C432C5" w14:textId="16AC7B94" w:rsidR="00A77BBD" w:rsidRDefault="00A77BBD" w:rsidP="00A77BBD">
      <w:pPr>
        <w:pStyle w:val="BodyTextFirstIndent"/>
      </w:pPr>
      <w:r>
        <w:rPr>
          <w:color w:val="000000"/>
        </w:rPr>
        <w:t>This Court</w:t>
      </w:r>
      <w:r w:rsidR="008B54D4">
        <w:rPr>
          <w:color w:val="000000"/>
        </w:rPr>
        <w:t>’</w:t>
      </w:r>
      <w:r>
        <w:rPr>
          <w:color w:val="000000"/>
        </w:rPr>
        <w:t>s answers to the questions that are being decided on appeal are summarized as follows:</w:t>
      </w:r>
    </w:p>
    <w:p w14:paraId="38DC6631" w14:textId="4426EC2D" w:rsidR="00A77BBD" w:rsidRDefault="00A77BBD" w:rsidP="00A77BBD">
      <w:pPr>
        <w:pStyle w:val="BodyTextFirstIndent"/>
      </w:pPr>
      <w:r>
        <w:rPr>
          <w:color w:val="000000"/>
        </w:rPr>
        <w:t>1.</w:t>
      </w:r>
      <w:r>
        <w:rPr>
          <w:rFonts w:eastAsia="Times New Roman" w:cs="Times New Roman"/>
          <w:color w:val="000000"/>
        </w:rPr>
        <w:tab/>
      </w:r>
      <w:r w:rsidRPr="00A702E3">
        <w:rPr>
          <w:color w:val="000000"/>
          <w:u w:val="single"/>
        </w:rPr>
        <w:t>Does the Bankruptcy Court have</w:t>
      </w:r>
      <w:r w:rsidR="00C740FC">
        <w:rPr>
          <w:color w:val="000000"/>
          <w:u w:val="single"/>
        </w:rPr>
        <w:t xml:space="preserve"> constitutional authority and</w:t>
      </w:r>
      <w:r w:rsidRPr="00A702E3">
        <w:rPr>
          <w:color w:val="000000"/>
          <w:u w:val="single"/>
        </w:rPr>
        <w:t xml:space="preserve"> subject matter jurisdiction to impose a release of non</w:t>
      </w:r>
      <w:r w:rsidR="009A6D82">
        <w:rPr>
          <w:color w:val="000000"/>
          <w:u w:val="single"/>
        </w:rPr>
        <w:t>-</w:t>
      </w:r>
      <w:r w:rsidRPr="00A702E3">
        <w:rPr>
          <w:color w:val="000000"/>
          <w:u w:val="single"/>
        </w:rPr>
        <w:t xml:space="preserve"> </w:t>
      </w:r>
      <w:r w:rsidR="00C740FC">
        <w:rPr>
          <w:color w:val="000000"/>
          <w:u w:val="single"/>
        </w:rPr>
        <w:t>D</w:t>
      </w:r>
      <w:r w:rsidRPr="00A702E3">
        <w:rPr>
          <w:color w:val="000000"/>
          <w:u w:val="single"/>
        </w:rPr>
        <w:t>ebtor claims?</w:t>
      </w:r>
    </w:p>
    <w:p w14:paraId="7A49293C" w14:textId="0FE0C381" w:rsidR="00A77BBD" w:rsidRDefault="00A77BBD" w:rsidP="00A77BBD">
      <w:pPr>
        <w:pStyle w:val="BodyTextFirstIndent"/>
      </w:pPr>
      <w:r>
        <w:rPr>
          <w:color w:val="000000"/>
        </w:rPr>
        <w:t>Yes</w:t>
      </w:r>
      <w:r w:rsidR="006A227C">
        <w:rPr>
          <w:color w:val="000000"/>
        </w:rPr>
        <w:t xml:space="preserve">.  </w:t>
      </w:r>
      <w:r>
        <w:rPr>
          <w:color w:val="000000"/>
        </w:rPr>
        <w:t>Under the law of this Circuit</w:t>
      </w:r>
      <w:r w:rsidR="008B54D4">
        <w:rPr>
          <w:color w:val="000000"/>
        </w:rPr>
        <w:t>,</w:t>
      </w:r>
      <w:r>
        <w:rPr>
          <w:color w:val="000000"/>
        </w:rPr>
        <w:t xml:space="preserve"> as most recently set forth in </w:t>
      </w:r>
      <w:r>
        <w:rPr>
          <w:i/>
          <w:iCs/>
          <w:color w:val="000000"/>
        </w:rPr>
        <w:t>SPV OSUS Ltd</w:t>
      </w:r>
      <w:r w:rsidR="006A227C">
        <w:rPr>
          <w:i/>
          <w:iCs/>
          <w:color w:val="000000"/>
        </w:rPr>
        <w:t>.</w:t>
      </w:r>
      <w:r w:rsidR="00E150C1">
        <w:rPr>
          <w:i/>
          <w:iCs/>
          <w:color w:val="000000"/>
        </w:rPr>
        <w:t xml:space="preserve"> v. </w:t>
      </w:r>
      <w:r>
        <w:rPr>
          <w:i/>
          <w:iCs/>
          <w:color w:val="000000"/>
        </w:rPr>
        <w:t>UBS</w:t>
      </w:r>
      <w:r w:rsidR="008B54D4">
        <w:rPr>
          <w:color w:val="000000"/>
        </w:rPr>
        <w:t>,</w:t>
      </w:r>
      <w:r>
        <w:rPr>
          <w:color w:val="000000"/>
        </w:rPr>
        <w:t xml:space="preserve"> </w:t>
      </w:r>
      <w:hyperlink r:id="rId49" w:history="1">
        <w:r>
          <w:rPr>
            <w:color w:val="000000"/>
          </w:rPr>
          <w:t>882 F.3d 333</w:t>
        </w:r>
      </w:hyperlink>
      <w:r>
        <w:rPr>
          <w:color w:val="000000"/>
        </w:rPr>
        <w:t xml:space="preserve"> (2d </w:t>
      </w:r>
      <w:r w:rsidR="00E97455">
        <w:rPr>
          <w:color w:val="000000"/>
        </w:rPr>
        <w:t xml:space="preserve">Cir. </w:t>
      </w:r>
      <w:r>
        <w:rPr>
          <w:color w:val="000000"/>
        </w:rPr>
        <w:t>2018)</w:t>
      </w:r>
      <w:r w:rsidR="008B54D4">
        <w:rPr>
          <w:color w:val="000000"/>
        </w:rPr>
        <w:t>,</w:t>
      </w:r>
      <w:r>
        <w:rPr>
          <w:color w:val="000000"/>
        </w:rPr>
        <w:t xml:space="preserve"> the Bankruptcy Court has broad “related to” jurisdiction over any civil proceedings that “might have any conceivable effect” on the estate</w:t>
      </w:r>
      <w:r w:rsidR="006A227C">
        <w:rPr>
          <w:color w:val="000000"/>
        </w:rPr>
        <w:t xml:space="preserve">.  </w:t>
      </w:r>
      <w:r w:rsidR="00FD7892">
        <w:rPr>
          <w:i/>
          <w:iCs/>
          <w:color w:val="000000"/>
        </w:rPr>
        <w:t xml:space="preserve">Id. </w:t>
      </w:r>
      <w:r>
        <w:rPr>
          <w:color w:val="000000"/>
        </w:rPr>
        <w:t>339-340</w:t>
      </w:r>
      <w:r w:rsidR="006A227C">
        <w:rPr>
          <w:color w:val="000000"/>
        </w:rPr>
        <w:t xml:space="preserve">.  </w:t>
      </w:r>
      <w:r>
        <w:rPr>
          <w:color w:val="000000"/>
        </w:rPr>
        <w:t xml:space="preserve">Because the civil proceedings asserted against the non-debtor </w:t>
      </w:r>
      <w:r w:rsidR="00E82FD6">
        <w:rPr>
          <w:color w:val="000000"/>
        </w:rPr>
        <w:t>Packler</w:t>
      </w:r>
      <w:r>
        <w:rPr>
          <w:color w:val="000000"/>
        </w:rPr>
        <w:t xml:space="preserve"> family members </w:t>
      </w:r>
      <w:r>
        <w:rPr>
          <w:i/>
          <w:iCs/>
          <w:color w:val="000000"/>
        </w:rPr>
        <w:t>might have</w:t>
      </w:r>
      <w:r>
        <w:rPr>
          <w:color w:val="000000"/>
        </w:rPr>
        <w:t xml:space="preserve"> a conceivable impact on the estate</w:t>
      </w:r>
      <w:r w:rsidR="008B54D4">
        <w:rPr>
          <w:color w:val="000000"/>
        </w:rPr>
        <w:t>,</w:t>
      </w:r>
      <w:r>
        <w:rPr>
          <w:color w:val="000000"/>
        </w:rPr>
        <w:t xml:space="preserve"> the Bankruptcy Court has subject matter jurisdiction to approve the Section 10.7 Shareholder Release and release the claims against the non-debtor Shareholder Released Parties.</w:t>
      </w:r>
    </w:p>
    <w:p w14:paraId="63BFCEEB" w14:textId="77777777" w:rsidR="00A77BBD" w:rsidRDefault="00A77BBD" w:rsidP="00A77BBD">
      <w:pPr>
        <w:pStyle w:val="BodyTextFirstIndent"/>
      </w:pPr>
      <w:r>
        <w:rPr>
          <w:color w:val="000000"/>
        </w:rPr>
        <w:t>2.</w:t>
      </w:r>
      <w:r>
        <w:rPr>
          <w:rFonts w:eastAsia="Times New Roman" w:cs="Times New Roman"/>
          <w:color w:val="000000"/>
        </w:rPr>
        <w:tab/>
      </w:r>
      <w:r>
        <w:rPr>
          <w:color w:val="000000"/>
          <w:u w:val="single"/>
        </w:rPr>
        <w:t>Does the Bankruptcy Court have statutory authority to approve the non-debtor releases?</w:t>
      </w:r>
    </w:p>
    <w:p w14:paraId="5071EB68" w14:textId="557ECE16" w:rsidR="00A77BBD" w:rsidRDefault="002E3DAF" w:rsidP="00A77BBD">
      <w:pPr>
        <w:pStyle w:val="BodyTextFirstIndent"/>
      </w:pPr>
      <w:r>
        <w:rPr>
          <w:color w:val="000000"/>
        </w:rPr>
        <w:t xml:space="preserve">No. </w:t>
      </w:r>
      <w:r w:rsidR="00A77BBD">
        <w:rPr>
          <w:color w:val="000000"/>
        </w:rPr>
        <w:t>The Bankruptcy Code does not authorize a bankruptcy court to order the non</w:t>
      </w:r>
      <w:r w:rsidR="00A77BBD">
        <w:rPr>
          <w:color w:val="000000"/>
        </w:rPr>
        <w:softHyphen/>
        <w:t>consensual release of third-party claims against non-debtors in connection with the confirmation of a chapter 11 bankruptcy plan</w:t>
      </w:r>
      <w:r w:rsidR="006A227C">
        <w:rPr>
          <w:color w:val="000000"/>
        </w:rPr>
        <w:t xml:space="preserve">.  </w:t>
      </w:r>
      <w:r w:rsidR="00A77BBD">
        <w:rPr>
          <w:color w:val="000000"/>
        </w:rPr>
        <w:t>The Confirmation Order fails to identify any provision of the Bankruptcy Code that provides such authority</w:t>
      </w:r>
      <w:r w:rsidR="006A227C">
        <w:rPr>
          <w:color w:val="000000"/>
        </w:rPr>
        <w:t xml:space="preserve">.  </w:t>
      </w:r>
      <w:r w:rsidR="00A77BBD">
        <w:rPr>
          <w:color w:val="000000"/>
        </w:rPr>
        <w:t>Contrary to the bankruptcy judge</w:t>
      </w:r>
      <w:r w:rsidR="008B54D4">
        <w:rPr>
          <w:color w:val="000000"/>
        </w:rPr>
        <w:t>’</w:t>
      </w:r>
      <w:r w:rsidR="00A77BBD">
        <w:rPr>
          <w:color w:val="000000"/>
        </w:rPr>
        <w:t>s conclusion</w:t>
      </w:r>
      <w:r w:rsidR="008B54D4">
        <w:rPr>
          <w:color w:val="000000"/>
        </w:rPr>
        <w:t>,</w:t>
      </w:r>
      <w:r w:rsidR="00A77BBD">
        <w:rPr>
          <w:color w:val="000000"/>
        </w:rPr>
        <w:t xml:space="preserve"> Sections 105(a) and 1123(a)(5) </w:t>
      </w:r>
      <w:r w:rsidR="0081115E">
        <w:rPr>
          <w:color w:val="000000"/>
        </w:rPr>
        <w:t>and</w:t>
      </w:r>
      <w:r w:rsidR="00A77BBD">
        <w:rPr>
          <w:color w:val="000000"/>
        </w:rPr>
        <w:t xml:space="preserve"> (b)(6)</w:t>
      </w:r>
      <w:r w:rsidR="008B54D4">
        <w:rPr>
          <w:color w:val="000000"/>
        </w:rPr>
        <w:t>,</w:t>
      </w:r>
      <w:r w:rsidR="00A77BBD">
        <w:rPr>
          <w:color w:val="000000"/>
        </w:rPr>
        <w:t xml:space="preserve"> whether read individually or together</w:t>
      </w:r>
      <w:r w:rsidR="008B54D4">
        <w:rPr>
          <w:color w:val="000000"/>
        </w:rPr>
        <w:t>,</w:t>
      </w:r>
      <w:r w:rsidR="00A77BBD">
        <w:rPr>
          <w:color w:val="000000"/>
        </w:rPr>
        <w:t xml:space="preserve"> do not provide a bankruptcy court with such authority; and there is no such thing as “equitable authority” or “residual authority” in a bankruptcy court untethered to some specific</w:t>
      </w:r>
      <w:r w:rsidR="008B54D4">
        <w:rPr>
          <w:color w:val="000000"/>
        </w:rPr>
        <w:t>,</w:t>
      </w:r>
      <w:r w:rsidR="00A77BBD">
        <w:rPr>
          <w:color w:val="000000"/>
        </w:rPr>
        <w:t xml:space="preserve"> substantive grant of authority in the Bankruptcy Code</w:t>
      </w:r>
      <w:r w:rsidR="006A227C">
        <w:rPr>
          <w:color w:val="000000"/>
        </w:rPr>
        <w:t xml:space="preserve">.  </w:t>
      </w:r>
      <w:r w:rsidR="00A77BBD">
        <w:rPr>
          <w:color w:val="000000"/>
        </w:rPr>
        <w:t>Second Circuit law is not to the contrary; indeed</w:t>
      </w:r>
      <w:r w:rsidR="008B54D4">
        <w:rPr>
          <w:color w:val="000000"/>
        </w:rPr>
        <w:t>,</w:t>
      </w:r>
      <w:r w:rsidR="00A77BBD">
        <w:rPr>
          <w:color w:val="000000"/>
        </w:rPr>
        <w:t xml:space="preserve"> the Second Circuit has not yet taken a position on this question.</w:t>
      </w:r>
    </w:p>
    <w:p w14:paraId="2647E873" w14:textId="77777777" w:rsidR="00A77BBD" w:rsidRDefault="00A77BBD" w:rsidP="006A780E">
      <w:pPr>
        <w:pStyle w:val="Heading1"/>
      </w:pPr>
      <w:r>
        <w:t>STANDARD OF REVIEW</w:t>
      </w:r>
    </w:p>
    <w:p w14:paraId="2FAD4CC2" w14:textId="54A96720" w:rsidR="00A77BBD" w:rsidRDefault="00A77BBD" w:rsidP="00A77BBD">
      <w:pPr>
        <w:pStyle w:val="BodyTextFirstIndent"/>
      </w:pPr>
      <w:r>
        <w:rPr>
          <w:color w:val="000000"/>
        </w:rPr>
        <w:t xml:space="preserve">The Court has jurisdiction to hear bankruptcy appeals pursuant to </w:t>
      </w:r>
      <w:hyperlink r:id="rId50" w:history="1">
        <w:r>
          <w:rPr>
            <w:color w:val="000000"/>
          </w:rPr>
          <w:t>28 U.S.C</w:t>
        </w:r>
        <w:r w:rsidR="006A227C">
          <w:rPr>
            <w:color w:val="000000"/>
          </w:rPr>
          <w:t xml:space="preserve">. </w:t>
        </w:r>
        <w:r>
          <w:rPr>
            <w:color w:val="000000"/>
          </w:rPr>
          <w:t>§ 158(a)</w:t>
        </w:r>
      </w:hyperlink>
      <w:r>
        <w:rPr>
          <w:color w:val="000000"/>
        </w:rPr>
        <w:t>.</w:t>
      </w:r>
    </w:p>
    <w:p w14:paraId="60DB0210" w14:textId="7EC9811A" w:rsidR="00A77BBD" w:rsidRDefault="0081115E" w:rsidP="0081115E">
      <w:pPr>
        <w:pStyle w:val="BodyTextFirstIndent"/>
      </w:pPr>
      <w:r>
        <w:rPr>
          <w:color w:val="000000"/>
        </w:rPr>
        <w:t xml:space="preserve">This Court “review[s] the Bankruptcy Court decision independently accepting its factual findings unless clearly erroneous, but reviewing its conclusions of law </w:t>
      </w:r>
      <w:r w:rsidRPr="008C2EFB">
        <w:rPr>
          <w:i/>
          <w:iCs/>
          <w:color w:val="000000"/>
        </w:rPr>
        <w:t>de novo</w:t>
      </w:r>
      <w:r>
        <w:rPr>
          <w:color w:val="000000"/>
        </w:rPr>
        <w:t>.</w:t>
      </w:r>
      <w:r w:rsidR="008C2EFB">
        <w:rPr>
          <w:color w:val="000000"/>
        </w:rPr>
        <w:t>”</w:t>
      </w:r>
      <w:r>
        <w:rPr>
          <w:color w:val="000000"/>
        </w:rPr>
        <w:t xml:space="preserve"> </w:t>
      </w:r>
      <w:r>
        <w:rPr>
          <w:i/>
          <w:iCs/>
          <w:color w:val="000000"/>
        </w:rPr>
        <w:t>Midland Cogeneration Venture Ltd. Partnership v. Enron Corp. (In re Enron Corp.)</w:t>
      </w:r>
      <w:r>
        <w:rPr>
          <w:color w:val="000000"/>
        </w:rPr>
        <w:t>, 419 F. 3d 115, 128 (2d Cir. 2005) (</w:t>
      </w:r>
      <w:r w:rsidRPr="008C2EFB">
        <w:rPr>
          <w:i/>
          <w:iCs/>
          <w:color w:val="000000"/>
        </w:rPr>
        <w:t>quoting,</w:t>
      </w:r>
      <w:r>
        <w:rPr>
          <w:color w:val="000000"/>
        </w:rPr>
        <w:t xml:space="preserve"> </w:t>
      </w:r>
      <w:r>
        <w:rPr>
          <w:i/>
          <w:iCs/>
          <w:color w:val="000000"/>
        </w:rPr>
        <w:t xml:space="preserve">In re AroChem </w:t>
      </w:r>
      <w:r w:rsidRPr="0081115E">
        <w:rPr>
          <w:color w:val="000000"/>
        </w:rPr>
        <w:t>Corp</w:t>
      </w:r>
      <w:r>
        <w:rPr>
          <w:color w:val="000000"/>
        </w:rPr>
        <w:t xml:space="preserve">, 176 F.3d 610, 620, (2d Cir. 1999). </w:t>
      </w:r>
      <w:r w:rsidR="00A77BBD" w:rsidRPr="0081115E">
        <w:rPr>
          <w:color w:val="000000"/>
        </w:rPr>
        <w:t>Conclusions</w:t>
      </w:r>
      <w:r w:rsidR="00A77BBD">
        <w:rPr>
          <w:color w:val="000000"/>
        </w:rPr>
        <w:t xml:space="preserve"> of law reviewed </w:t>
      </w:r>
      <w:r w:rsidR="00A77BBD">
        <w:rPr>
          <w:i/>
          <w:iCs/>
          <w:color w:val="000000"/>
        </w:rPr>
        <w:t xml:space="preserve">de novo </w:t>
      </w:r>
      <w:r w:rsidR="00A77BBD">
        <w:rPr>
          <w:color w:val="000000"/>
        </w:rPr>
        <w:t>include “rulings as to the bankruptcy court</w:t>
      </w:r>
      <w:r w:rsidR="008B54D4">
        <w:rPr>
          <w:color w:val="000000"/>
        </w:rPr>
        <w:t>’</w:t>
      </w:r>
      <w:r w:rsidR="00A77BBD">
        <w:rPr>
          <w:color w:val="000000"/>
        </w:rPr>
        <w:t>s jurisdiction” and “interpretations of the Constitution</w:t>
      </w:r>
      <w:r w:rsidR="00FA79C1">
        <w:rPr>
          <w:color w:val="000000"/>
        </w:rPr>
        <w:t xml:space="preserve">.”  </w:t>
      </w:r>
      <w:r w:rsidR="00A77BBD">
        <w:rPr>
          <w:i/>
          <w:iCs/>
          <w:color w:val="000000"/>
        </w:rPr>
        <w:t>In re Motors Liquidation Co.</w:t>
      </w:r>
      <w:r w:rsidR="008B54D4">
        <w:rPr>
          <w:color w:val="000000"/>
        </w:rPr>
        <w:t>,</w:t>
      </w:r>
      <w:hyperlink r:id="rId51" w:history="1">
        <w:r w:rsidR="00A77BBD">
          <w:rPr>
            <w:color w:val="000000"/>
          </w:rPr>
          <w:t xml:space="preserve"> 829 F.3d 135</w:t>
        </w:r>
        <w:r w:rsidR="008B54D4">
          <w:rPr>
            <w:color w:val="000000"/>
          </w:rPr>
          <w:t>,</w:t>
        </w:r>
        <w:r w:rsidR="00A77BBD">
          <w:rPr>
            <w:color w:val="000000"/>
          </w:rPr>
          <w:t xml:space="preserve"> 152</w:t>
        </w:r>
      </w:hyperlink>
      <w:r w:rsidR="008B54D4">
        <w:rPr>
          <w:color w:val="000000"/>
        </w:rPr>
        <w:t>,</w:t>
      </w:r>
      <w:hyperlink r:id="rId52" w:history="1">
        <w:r w:rsidR="00A77BBD">
          <w:rPr>
            <w:color w:val="000000"/>
          </w:rPr>
          <w:t xml:space="preserve"> 158 </w:t>
        </w:r>
      </w:hyperlink>
      <w:r w:rsidR="00A77BBD">
        <w:rPr>
          <w:color w:val="000000"/>
        </w:rPr>
        <w:t xml:space="preserve">(2d </w:t>
      </w:r>
      <w:r w:rsidR="00E97455">
        <w:rPr>
          <w:color w:val="000000"/>
        </w:rPr>
        <w:t xml:space="preserve">Cir. </w:t>
      </w:r>
      <w:r w:rsidR="00A77BBD">
        <w:rPr>
          <w:color w:val="000000"/>
        </w:rPr>
        <w:t>2016)</w:t>
      </w:r>
      <w:r w:rsidR="006A227C">
        <w:rPr>
          <w:color w:val="000000"/>
        </w:rPr>
        <w:t xml:space="preserve">.  </w:t>
      </w:r>
      <w:r w:rsidR="00A77BBD">
        <w:rPr>
          <w:color w:val="000000"/>
        </w:rPr>
        <w:t>As to findings of fact</w:t>
      </w:r>
      <w:r w:rsidR="008B54D4">
        <w:rPr>
          <w:color w:val="000000"/>
        </w:rPr>
        <w:t>,</w:t>
      </w:r>
      <w:r w:rsidR="00A77BBD">
        <w:rPr>
          <w:color w:val="000000"/>
        </w:rPr>
        <w:t xml:space="preserve"> the “clear error standard is a deferential one</w:t>
      </w:r>
      <w:r w:rsidR="00FA79C1">
        <w:rPr>
          <w:color w:val="000000"/>
        </w:rPr>
        <w:t xml:space="preserve">.”  </w:t>
      </w:r>
      <w:r w:rsidR="00FD7892">
        <w:rPr>
          <w:i/>
          <w:iCs/>
          <w:color w:val="000000"/>
        </w:rPr>
        <w:t xml:space="preserve">Id. </w:t>
      </w:r>
      <w:r w:rsidR="00A77BBD">
        <w:rPr>
          <w:color w:val="000000"/>
        </w:rPr>
        <w:t>at 158</w:t>
      </w:r>
      <w:r w:rsidR="006A227C">
        <w:rPr>
          <w:color w:val="000000"/>
        </w:rPr>
        <w:t xml:space="preserve">.  </w:t>
      </w:r>
      <w:r w:rsidR="00A77BBD">
        <w:rPr>
          <w:color w:val="000000"/>
        </w:rPr>
        <w:t>A finding of fact is clearly erroneous only if this Court is “left with the definite and firm conviction that a mistake has been committed</w:t>
      </w:r>
      <w:r w:rsidR="00FA79C1">
        <w:rPr>
          <w:color w:val="000000"/>
        </w:rPr>
        <w:t xml:space="preserve">.”  </w:t>
      </w:r>
      <w:r w:rsidR="00A77BBD">
        <w:rPr>
          <w:i/>
          <w:iCs/>
          <w:color w:val="000000"/>
        </w:rPr>
        <w:t>In re Lehman Bros</w:t>
      </w:r>
      <w:r w:rsidR="006A227C">
        <w:rPr>
          <w:i/>
          <w:iCs/>
          <w:color w:val="000000"/>
        </w:rPr>
        <w:t xml:space="preserve">. </w:t>
      </w:r>
      <w:r w:rsidR="00A77BBD">
        <w:rPr>
          <w:i/>
          <w:iCs/>
          <w:color w:val="000000"/>
        </w:rPr>
        <w:t>3 Holdings Inc.</w:t>
      </w:r>
      <w:r w:rsidR="008B54D4" w:rsidRPr="00FA79C1">
        <w:rPr>
          <w:color w:val="000000"/>
        </w:rPr>
        <w:t>,</w:t>
      </w:r>
      <w:hyperlink r:id="rId53" w:history="1">
        <w:r w:rsidR="00A77BBD">
          <w:rPr>
            <w:color w:val="000000"/>
          </w:rPr>
          <w:t xml:space="preserve"> 855 F.3d 459</w:t>
        </w:r>
        <w:r w:rsidR="008B54D4">
          <w:rPr>
            <w:color w:val="000000"/>
          </w:rPr>
          <w:t>,</w:t>
        </w:r>
        <w:r w:rsidR="00A77BBD">
          <w:rPr>
            <w:color w:val="000000"/>
          </w:rPr>
          <w:t xml:space="preserve"> 469 </w:t>
        </w:r>
      </w:hyperlink>
      <w:r w:rsidR="00A77BBD">
        <w:rPr>
          <w:color w:val="000000"/>
        </w:rPr>
        <w:t>(2d Cir</w:t>
      </w:r>
      <w:r w:rsidR="006A227C">
        <w:rPr>
          <w:color w:val="000000"/>
        </w:rPr>
        <w:t xml:space="preserve">. </w:t>
      </w:r>
      <w:r w:rsidR="00A77BBD">
        <w:rPr>
          <w:color w:val="000000"/>
        </w:rPr>
        <w:t>2017).</w:t>
      </w:r>
    </w:p>
    <w:p w14:paraId="0DAAA9ED" w14:textId="09AD75B8" w:rsidR="00A77BBD" w:rsidRDefault="00A77BBD" w:rsidP="00A77BBD">
      <w:pPr>
        <w:pStyle w:val="BodyTextFirstIndent"/>
      </w:pPr>
      <w:r>
        <w:rPr>
          <w:color w:val="000000"/>
        </w:rPr>
        <w:t xml:space="preserve">The standard of review of findings of </w:t>
      </w:r>
      <w:r w:rsidR="0081115E">
        <w:rPr>
          <w:color w:val="000000"/>
        </w:rPr>
        <w:t>f</w:t>
      </w:r>
      <w:r>
        <w:rPr>
          <w:color w:val="000000"/>
        </w:rPr>
        <w:t>act is far less deferential if a bankruptcy court is presented with something it cannot adjudicate to final judgment as a constitutional matter unless the parties consent</w:t>
      </w:r>
      <w:r w:rsidR="006A227C">
        <w:rPr>
          <w:color w:val="000000"/>
        </w:rPr>
        <w:t xml:space="preserve">.  </w:t>
      </w:r>
      <w:r>
        <w:rPr>
          <w:i/>
          <w:iCs/>
          <w:color w:val="000000"/>
        </w:rPr>
        <w:t>Stern</w:t>
      </w:r>
      <w:r w:rsidR="00E150C1">
        <w:rPr>
          <w:i/>
          <w:iCs/>
          <w:color w:val="000000"/>
        </w:rPr>
        <w:t xml:space="preserve"> v. </w:t>
      </w:r>
      <w:r>
        <w:rPr>
          <w:i/>
          <w:iCs/>
          <w:color w:val="000000"/>
        </w:rPr>
        <w:t>Marshall</w:t>
      </w:r>
      <w:r w:rsidR="008B54D4">
        <w:rPr>
          <w:color w:val="000000"/>
        </w:rPr>
        <w:t>,</w:t>
      </w:r>
      <w:hyperlink r:id="rId54" w:history="1">
        <w:r>
          <w:rPr>
            <w:color w:val="000000"/>
          </w:rPr>
          <w:t xml:space="preserve"> 564 </w:t>
        </w:r>
        <w:r w:rsidR="002F10FB">
          <w:rPr>
            <w:color w:val="000000"/>
          </w:rPr>
          <w:t xml:space="preserve">U.S. </w:t>
        </w:r>
        <w:r>
          <w:rPr>
            <w:color w:val="000000"/>
          </w:rPr>
          <w:t xml:space="preserve">462 </w:t>
        </w:r>
      </w:hyperlink>
      <w:r>
        <w:rPr>
          <w:color w:val="000000"/>
        </w:rPr>
        <w:t>(2011)</w:t>
      </w:r>
      <w:r w:rsidR="006A227C">
        <w:rPr>
          <w:color w:val="000000"/>
        </w:rPr>
        <w:t xml:space="preserve">.  </w:t>
      </w:r>
      <w:r>
        <w:rPr>
          <w:color w:val="000000"/>
        </w:rPr>
        <w:t>In such a circumstance</w:t>
      </w:r>
      <w:r w:rsidR="008B54D4">
        <w:rPr>
          <w:color w:val="000000"/>
        </w:rPr>
        <w:t>,</w:t>
      </w:r>
      <w:r>
        <w:rPr>
          <w:color w:val="000000"/>
        </w:rPr>
        <w:t xml:space="preserve"> a bankruptcy judge has authority only to “hear the proceeding and submit proposed findings of fact and conclusions of law to the district court for </w:t>
      </w:r>
      <w:r>
        <w:rPr>
          <w:i/>
          <w:iCs/>
          <w:color w:val="000000"/>
        </w:rPr>
        <w:t>de novo</w:t>
      </w:r>
      <w:r>
        <w:rPr>
          <w:color w:val="000000"/>
        </w:rPr>
        <w:t xml:space="preserve"> review and entry of judgment</w:t>
      </w:r>
      <w:r w:rsidR="00FA79C1">
        <w:rPr>
          <w:color w:val="000000"/>
        </w:rPr>
        <w:t xml:space="preserve">.”  </w:t>
      </w:r>
      <w:r>
        <w:rPr>
          <w:i/>
          <w:iCs/>
          <w:color w:val="000000"/>
        </w:rPr>
        <w:t>Exec</w:t>
      </w:r>
      <w:r w:rsidR="006A227C">
        <w:rPr>
          <w:i/>
          <w:iCs/>
          <w:color w:val="000000"/>
        </w:rPr>
        <w:t xml:space="preserve">. </w:t>
      </w:r>
      <w:r>
        <w:rPr>
          <w:i/>
          <w:iCs/>
          <w:color w:val="000000"/>
        </w:rPr>
        <w:t>Benefits Ins</w:t>
      </w:r>
      <w:r w:rsidR="006A227C">
        <w:rPr>
          <w:i/>
          <w:iCs/>
          <w:color w:val="000000"/>
        </w:rPr>
        <w:t xml:space="preserve">. </w:t>
      </w:r>
      <w:r>
        <w:rPr>
          <w:i/>
          <w:iCs/>
          <w:color w:val="000000"/>
        </w:rPr>
        <w:t>Agency</w:t>
      </w:r>
      <w:r w:rsidR="00E150C1">
        <w:rPr>
          <w:i/>
          <w:iCs/>
          <w:color w:val="000000"/>
        </w:rPr>
        <w:t xml:space="preserve"> v. </w:t>
      </w:r>
      <w:r>
        <w:rPr>
          <w:i/>
          <w:iCs/>
          <w:color w:val="000000"/>
        </w:rPr>
        <w:t>Arkison</w:t>
      </w:r>
      <w:r w:rsidR="008B54D4">
        <w:rPr>
          <w:color w:val="000000"/>
        </w:rPr>
        <w:t>,</w:t>
      </w:r>
      <w:hyperlink r:id="rId55" w:history="1">
        <w:r>
          <w:rPr>
            <w:color w:val="000000"/>
          </w:rPr>
          <w:t xml:space="preserve"> 573 </w:t>
        </w:r>
        <w:r w:rsidR="002F10FB">
          <w:rPr>
            <w:color w:val="000000"/>
          </w:rPr>
          <w:t xml:space="preserve">U.S. </w:t>
        </w:r>
        <w:r>
          <w:rPr>
            <w:color w:val="000000"/>
          </w:rPr>
          <w:t>25</w:t>
        </w:r>
        <w:r w:rsidR="008B54D4">
          <w:rPr>
            <w:color w:val="000000"/>
          </w:rPr>
          <w:t>,</w:t>
        </w:r>
        <w:r>
          <w:rPr>
            <w:color w:val="000000"/>
          </w:rPr>
          <w:t xml:space="preserve"> 34-36 </w:t>
        </w:r>
      </w:hyperlink>
      <w:r>
        <w:rPr>
          <w:color w:val="000000"/>
        </w:rPr>
        <w:t>(2014)</w:t>
      </w:r>
      <w:r w:rsidR="006A227C">
        <w:rPr>
          <w:color w:val="000000"/>
        </w:rPr>
        <w:t xml:space="preserve">.  </w:t>
      </w:r>
      <w:r>
        <w:rPr>
          <w:color w:val="000000"/>
        </w:rPr>
        <w:t>In that case</w:t>
      </w:r>
      <w:r w:rsidR="008B54D4">
        <w:rPr>
          <w:color w:val="000000"/>
        </w:rPr>
        <w:t>,</w:t>
      </w:r>
      <w:r>
        <w:rPr>
          <w:color w:val="000000"/>
        </w:rPr>
        <w:t xml:space="preserve"> the findings of fact are reviewed</w:t>
      </w:r>
      <w:r w:rsidR="00522B24">
        <w:rPr>
          <w:color w:val="000000"/>
        </w:rPr>
        <w:t xml:space="preserve"> </w:t>
      </w:r>
      <w:r>
        <w:rPr>
          <w:i/>
          <w:iCs/>
          <w:color w:val="000000"/>
        </w:rPr>
        <w:t>de novo</w:t>
      </w:r>
      <w:r>
        <w:rPr>
          <w:color w:val="000000"/>
        </w:rPr>
        <w:t xml:space="preserve"> as well</w:t>
      </w:r>
      <w:r w:rsidR="006A227C">
        <w:rPr>
          <w:color w:val="000000"/>
        </w:rPr>
        <w:t xml:space="preserve">.  </w:t>
      </w:r>
      <w:r>
        <w:rPr>
          <w:color w:val="000000"/>
        </w:rPr>
        <w:t>If a bankruptcy court issues a final order in the mistaken belief that it has constitutional authority to do so</w:t>
      </w:r>
      <w:r w:rsidR="008B54D4">
        <w:rPr>
          <w:color w:val="000000"/>
        </w:rPr>
        <w:t>,</w:t>
      </w:r>
      <w:r>
        <w:rPr>
          <w:color w:val="000000"/>
        </w:rPr>
        <w:t xml:space="preserve"> the district court can treat a bankruptcy court</w:t>
      </w:r>
      <w:r w:rsidR="008B54D4">
        <w:rPr>
          <w:color w:val="000000"/>
        </w:rPr>
        <w:t>’</w:t>
      </w:r>
      <w:r>
        <w:rPr>
          <w:color w:val="000000"/>
        </w:rPr>
        <w:t>s order as a report and recommendation</w:t>
      </w:r>
      <w:r w:rsidR="008B54D4">
        <w:rPr>
          <w:color w:val="000000"/>
        </w:rPr>
        <w:t>,</w:t>
      </w:r>
      <w:r>
        <w:rPr>
          <w:color w:val="000000"/>
        </w:rPr>
        <w:t xml:space="preserve"> but it “must review the proceeding </w:t>
      </w:r>
      <w:r>
        <w:rPr>
          <w:i/>
          <w:iCs/>
          <w:color w:val="000000"/>
        </w:rPr>
        <w:t>de novo</w:t>
      </w:r>
      <w:r>
        <w:rPr>
          <w:color w:val="000000"/>
        </w:rPr>
        <w:t xml:space="preserve"> and enter final judgment</w:t>
      </w:r>
      <w:r w:rsidR="00FA79C1">
        <w:rPr>
          <w:color w:val="000000"/>
        </w:rPr>
        <w:t xml:space="preserve">.”  </w:t>
      </w:r>
      <w:r w:rsidR="00FD7892">
        <w:rPr>
          <w:i/>
          <w:iCs/>
          <w:color w:val="000000"/>
        </w:rPr>
        <w:t xml:space="preserve">Id. </w:t>
      </w:r>
      <w:r>
        <w:rPr>
          <w:color w:val="000000"/>
        </w:rPr>
        <w:t>at</w:t>
      </w:r>
      <w:r w:rsidR="00522B24">
        <w:rPr>
          <w:color w:val="000000"/>
        </w:rPr>
        <w:t xml:space="preserve"> </w:t>
      </w:r>
      <w:r>
        <w:rPr>
          <w:color w:val="000000"/>
        </w:rPr>
        <w:t>34.</w:t>
      </w:r>
    </w:p>
    <w:p w14:paraId="6745A1AB" w14:textId="19524D23" w:rsidR="00A77BBD" w:rsidRDefault="00A77BBD" w:rsidP="00A77BBD">
      <w:pPr>
        <w:pStyle w:val="BodyTextFirstIndent"/>
      </w:pPr>
      <w:r>
        <w:rPr>
          <w:color w:val="000000"/>
        </w:rPr>
        <w:t>In this case</w:t>
      </w:r>
      <w:r w:rsidR="008B54D4">
        <w:rPr>
          <w:color w:val="000000"/>
        </w:rPr>
        <w:t>,</w:t>
      </w:r>
      <w:r>
        <w:rPr>
          <w:color w:val="000000"/>
        </w:rPr>
        <w:t xml:space="preserve"> the Bankruptcy Court concluded that it had constitutional authority under </w:t>
      </w:r>
      <w:r>
        <w:rPr>
          <w:i/>
          <w:iCs/>
          <w:color w:val="000000"/>
        </w:rPr>
        <w:t xml:space="preserve">Stern </w:t>
      </w:r>
      <w:r>
        <w:rPr>
          <w:color w:val="000000"/>
        </w:rPr>
        <w:t>to enter a final order granting the release</w:t>
      </w:r>
      <w:r w:rsidR="008B54D4">
        <w:rPr>
          <w:color w:val="000000"/>
        </w:rPr>
        <w:t>,</w:t>
      </w:r>
      <w:r>
        <w:rPr>
          <w:color w:val="000000"/>
        </w:rPr>
        <w:t xml:space="preserve"> because the issue arose in the context of confirming a plan of reorganization - the most “core” of bankruptcy proceedings</w:t>
      </w:r>
      <w:r w:rsidR="006A227C">
        <w:rPr>
          <w:color w:val="000000"/>
        </w:rPr>
        <w:t xml:space="preserve">.  </w:t>
      </w:r>
      <w:r>
        <w:rPr>
          <w:i/>
          <w:iCs/>
          <w:color w:val="000000"/>
        </w:rPr>
        <w:t xml:space="preserve">In re </w:t>
      </w:r>
      <w:r w:rsidR="006239B5">
        <w:rPr>
          <w:i/>
          <w:iCs/>
          <w:color w:val="000000"/>
        </w:rPr>
        <w:t>Oxy</w:t>
      </w:r>
      <w:r>
        <w:rPr>
          <w:i/>
          <w:iCs/>
          <w:color w:val="000000"/>
        </w:rPr>
        <w:t xml:space="preserve"> Pharma L.P.</w:t>
      </w:r>
      <w:r w:rsidR="008B54D4" w:rsidRPr="00522B24">
        <w:rPr>
          <w:color w:val="000000"/>
        </w:rPr>
        <w:t>,</w:t>
      </w:r>
      <w:r>
        <w:rPr>
          <w:i/>
          <w:iCs/>
          <w:color w:val="000000"/>
        </w:rPr>
        <w:t xml:space="preserve"> </w:t>
      </w:r>
      <w:hyperlink r:id="rId56" w:history="1">
        <w:r>
          <w:rPr>
            <w:color w:val="000000"/>
          </w:rPr>
          <w:t>2021 WL 4240974</w:t>
        </w:r>
      </w:hyperlink>
      <w:r w:rsidR="008B54D4">
        <w:rPr>
          <w:color w:val="000000"/>
        </w:rPr>
        <w:t>,</w:t>
      </w:r>
      <w:r>
        <w:rPr>
          <w:color w:val="000000"/>
        </w:rPr>
        <w:t xml:space="preserve"> at *40</w:t>
      </w:r>
      <w:r w:rsidR="006A227C">
        <w:rPr>
          <w:color w:val="000000"/>
        </w:rPr>
        <w:t xml:space="preserve">.  </w:t>
      </w:r>
      <w:r>
        <w:rPr>
          <w:color w:val="000000"/>
        </w:rPr>
        <w:t>Appell</w:t>
      </w:r>
      <w:r w:rsidR="0081115E">
        <w:rPr>
          <w:color w:val="000000"/>
        </w:rPr>
        <w:t>ee</w:t>
      </w:r>
      <w:r>
        <w:rPr>
          <w:color w:val="000000"/>
        </w:rPr>
        <w:t xml:space="preserve">s urge that Judge </w:t>
      </w:r>
      <w:r w:rsidR="00E82FD6">
        <w:rPr>
          <w:color w:val="000000"/>
        </w:rPr>
        <w:t>Wains</w:t>
      </w:r>
      <w:r>
        <w:rPr>
          <w:color w:val="000000"/>
        </w:rPr>
        <w:t xml:space="preserve"> misread </w:t>
      </w:r>
      <w:r>
        <w:rPr>
          <w:i/>
          <w:iCs/>
          <w:color w:val="000000"/>
        </w:rPr>
        <w:t>Stern</w:t>
      </w:r>
      <w:r>
        <w:rPr>
          <w:color w:val="000000"/>
        </w:rPr>
        <w:t xml:space="preserve"> and argue that he lacked authority to give final approval to those releases</w:t>
      </w:r>
      <w:r w:rsidR="008B54D4">
        <w:rPr>
          <w:color w:val="000000"/>
        </w:rPr>
        <w:t>,</w:t>
      </w:r>
      <w:r>
        <w:rPr>
          <w:color w:val="000000"/>
        </w:rPr>
        <w:t xml:space="preserve"> even though they were incorporated into a plan of reorganization.</w:t>
      </w:r>
    </w:p>
    <w:p w14:paraId="7557FC47" w14:textId="5F3DEB18" w:rsidR="00A77BBD" w:rsidRDefault="0081115E" w:rsidP="00A77BBD">
      <w:pPr>
        <w:pStyle w:val="BodyTextFirstIndent"/>
      </w:pPr>
      <w:r>
        <w:rPr>
          <w:color w:val="000000"/>
        </w:rPr>
        <w:t>We</w:t>
      </w:r>
      <w:r w:rsidR="00A77BBD">
        <w:rPr>
          <w:color w:val="000000"/>
        </w:rPr>
        <w:t xml:space="preserve"> agree with Appell</w:t>
      </w:r>
      <w:r>
        <w:rPr>
          <w:color w:val="000000"/>
        </w:rPr>
        <w:t>ees.</w:t>
      </w:r>
    </w:p>
    <w:p w14:paraId="4B7623DB" w14:textId="0A72961C" w:rsidR="00A77BBD" w:rsidRDefault="00A77BBD" w:rsidP="00A77BBD">
      <w:pPr>
        <w:pStyle w:val="BodyTextFirstIndent"/>
      </w:pPr>
      <w:r>
        <w:rPr>
          <w:color w:val="000000"/>
        </w:rPr>
        <w:t xml:space="preserve">In </w:t>
      </w:r>
      <w:hyperlink r:id="rId57" w:history="1">
        <w:r>
          <w:rPr>
            <w:color w:val="000000"/>
          </w:rPr>
          <w:t xml:space="preserve">28 </w:t>
        </w:r>
        <w:r w:rsidR="00522B24">
          <w:rPr>
            <w:color w:val="000000"/>
          </w:rPr>
          <w:t xml:space="preserve">U.S.C. </w:t>
        </w:r>
        <w:r>
          <w:rPr>
            <w:color w:val="000000"/>
          </w:rPr>
          <w:t>§157(a)</w:t>
        </w:r>
      </w:hyperlink>
      <w:r w:rsidR="008B54D4">
        <w:rPr>
          <w:color w:val="000000"/>
        </w:rPr>
        <w:t>,</w:t>
      </w:r>
      <w:r>
        <w:rPr>
          <w:color w:val="000000"/>
        </w:rPr>
        <w:t xml:space="preserve"> Congress divided bankruptcy proceedings into three types:  (1) those that “arise under” title 11; (2) those that “arise in” a title 11 case; (3) and those that are “related to” a title 11 case</w:t>
      </w:r>
      <w:r w:rsidR="006A227C">
        <w:rPr>
          <w:color w:val="000000"/>
        </w:rPr>
        <w:t xml:space="preserve">.  </w:t>
      </w:r>
      <w:r>
        <w:rPr>
          <w:color w:val="000000"/>
        </w:rPr>
        <w:t xml:space="preserve">Cases that “arise under” or “arise in” a title 11 matter are known as </w:t>
      </w:r>
      <w:r>
        <w:rPr>
          <w:color w:val="000000"/>
          <w:u w:val="single"/>
        </w:rPr>
        <w:t xml:space="preserve">core </w:t>
      </w:r>
      <w:r>
        <w:rPr>
          <w:color w:val="000000"/>
        </w:rPr>
        <w:t>bankruptcy proceedings</w:t>
      </w:r>
      <w:r w:rsidR="008B54D4">
        <w:rPr>
          <w:color w:val="000000"/>
        </w:rPr>
        <w:t>,</w:t>
      </w:r>
      <w:r>
        <w:rPr>
          <w:color w:val="000000"/>
        </w:rPr>
        <w:t xml:space="preserve"> while “related to” proceedings are </w:t>
      </w:r>
      <w:r>
        <w:rPr>
          <w:color w:val="000000"/>
          <w:u w:val="single"/>
        </w:rPr>
        <w:t>non-core</w:t>
      </w:r>
      <w:r w:rsidR="006A227C">
        <w:rPr>
          <w:color w:val="000000"/>
        </w:rPr>
        <w:t xml:space="preserve">.  </w:t>
      </w:r>
      <w:hyperlink r:id="rId58" w:history="1">
        <w:r>
          <w:rPr>
            <w:color w:val="000000"/>
          </w:rPr>
          <w:t xml:space="preserve">28 </w:t>
        </w:r>
        <w:r w:rsidR="00522B24">
          <w:rPr>
            <w:color w:val="000000"/>
          </w:rPr>
          <w:t xml:space="preserve">U.S.C. </w:t>
        </w:r>
        <w:r>
          <w:rPr>
            <w:color w:val="000000"/>
          </w:rPr>
          <w:t>§ 157(b)(1)-</w:t>
        </w:r>
      </w:hyperlink>
      <w:r>
        <w:rPr>
          <w:color w:val="000000"/>
        </w:rPr>
        <w:t xml:space="preserve"> </w:t>
      </w:r>
      <w:hyperlink r:id="rId59" w:history="1">
        <w:r>
          <w:rPr>
            <w:color w:val="000000"/>
          </w:rPr>
          <w:t>(2)(C)</w:t>
        </w:r>
      </w:hyperlink>
      <w:r w:rsidR="006A227C">
        <w:rPr>
          <w:color w:val="000000"/>
        </w:rPr>
        <w:t xml:space="preserve">.  </w:t>
      </w:r>
      <w:r>
        <w:rPr>
          <w:color w:val="000000"/>
        </w:rPr>
        <w:t>Every proceeding pending before a bankruptcy court is either core or non-core.</w:t>
      </w:r>
      <w:r>
        <w:rPr>
          <w:rStyle w:val="FootnoteReference"/>
          <w:rFonts w:eastAsia="Times New Roman" w:cs="Times New Roman"/>
          <w:color w:val="000000"/>
          <w:vertAlign w:val="superscript"/>
        </w:rPr>
        <w:footnoteReference w:id="27"/>
      </w:r>
    </w:p>
    <w:p w14:paraId="0E4A7056" w14:textId="125FBD7A" w:rsidR="00A77BBD" w:rsidRDefault="00A77BBD" w:rsidP="00A77BBD">
      <w:pPr>
        <w:pStyle w:val="BodyTextFirstIndent"/>
      </w:pPr>
      <w:r>
        <w:rPr>
          <w:color w:val="000000"/>
        </w:rPr>
        <w:t>The core vs</w:t>
      </w:r>
      <w:r w:rsidR="006A227C">
        <w:rPr>
          <w:color w:val="000000"/>
        </w:rPr>
        <w:t xml:space="preserve">. </w:t>
      </w:r>
      <w:r>
        <w:rPr>
          <w:color w:val="000000"/>
        </w:rPr>
        <w:t>non-core distinction is critical when assessing a bankruptcy court</w:t>
      </w:r>
      <w:r w:rsidR="008B54D4">
        <w:rPr>
          <w:color w:val="000000"/>
        </w:rPr>
        <w:t>’</w:t>
      </w:r>
      <w:r>
        <w:rPr>
          <w:color w:val="000000"/>
        </w:rPr>
        <w:t>s constitutional authority to enter a final judgment disposing of that proceeding.</w:t>
      </w:r>
      <w:r>
        <w:rPr>
          <w:rStyle w:val="FootnoteReference"/>
          <w:rFonts w:eastAsia="Times New Roman" w:cs="Times New Roman"/>
          <w:color w:val="000000"/>
          <w:vertAlign w:val="superscript"/>
        </w:rPr>
        <w:footnoteReference w:id="28"/>
      </w:r>
      <w:r>
        <w:rPr>
          <w:color w:val="000000"/>
        </w:rPr>
        <w:t xml:space="preserve"> </w:t>
      </w:r>
      <w:r w:rsidR="00522B24">
        <w:rPr>
          <w:color w:val="000000"/>
        </w:rPr>
        <w:t xml:space="preserve"> </w:t>
      </w:r>
      <w:r>
        <w:rPr>
          <w:color w:val="000000"/>
        </w:rPr>
        <w:t>In particular</w:t>
      </w:r>
      <w:r w:rsidR="008B54D4">
        <w:rPr>
          <w:color w:val="000000"/>
        </w:rPr>
        <w:t>,</w:t>
      </w:r>
      <w:r>
        <w:rPr>
          <w:color w:val="000000"/>
        </w:rPr>
        <w:t xml:space="preserve"> a bankruptcy court lacks the constitutional authority to enter a final judgment in a proceeding over which it has only “related to” subject matter jurisdiction unless all parties consent</w:t>
      </w:r>
      <w:r w:rsidR="006A227C">
        <w:rPr>
          <w:color w:val="000000"/>
        </w:rPr>
        <w:t xml:space="preserve">.  </w:t>
      </w:r>
      <w:r>
        <w:rPr>
          <w:color w:val="000000"/>
        </w:rPr>
        <w:t xml:space="preserve">Any doubt on that score was put to rest by the United States Supreme Court in </w:t>
      </w:r>
      <w:r>
        <w:rPr>
          <w:i/>
          <w:iCs/>
          <w:color w:val="000000"/>
        </w:rPr>
        <w:t>Stern</w:t>
      </w:r>
      <w:r w:rsidR="00E150C1">
        <w:rPr>
          <w:i/>
          <w:iCs/>
          <w:color w:val="000000"/>
        </w:rPr>
        <w:t xml:space="preserve"> v. </w:t>
      </w:r>
      <w:r>
        <w:rPr>
          <w:i/>
          <w:iCs/>
          <w:color w:val="000000"/>
        </w:rPr>
        <w:t>Marshall</w:t>
      </w:r>
      <w:r w:rsidR="008B54D4">
        <w:rPr>
          <w:color w:val="000000"/>
        </w:rPr>
        <w:t>,</w:t>
      </w:r>
      <w:hyperlink r:id="rId60" w:history="1">
        <w:r>
          <w:rPr>
            <w:color w:val="000000"/>
          </w:rPr>
          <w:t xml:space="preserve"> 564 </w:t>
        </w:r>
        <w:r w:rsidR="002F10FB">
          <w:rPr>
            <w:color w:val="000000"/>
          </w:rPr>
          <w:t xml:space="preserve">U.S. </w:t>
        </w:r>
        <w:r>
          <w:rPr>
            <w:color w:val="000000"/>
          </w:rPr>
          <w:t>462</w:t>
        </w:r>
      </w:hyperlink>
      <w:r>
        <w:rPr>
          <w:color w:val="000000"/>
        </w:rPr>
        <w:t xml:space="preserve"> (2011)</w:t>
      </w:r>
      <w:r w:rsidR="006A227C">
        <w:rPr>
          <w:color w:val="000000"/>
        </w:rPr>
        <w:t xml:space="preserve">.  </w:t>
      </w:r>
      <w:r>
        <w:rPr>
          <w:color w:val="000000"/>
        </w:rPr>
        <w:t>In that case</w:t>
      </w:r>
      <w:r w:rsidR="008B54D4">
        <w:rPr>
          <w:color w:val="000000"/>
        </w:rPr>
        <w:t>,</w:t>
      </w:r>
      <w:r>
        <w:rPr>
          <w:color w:val="000000"/>
        </w:rPr>
        <w:t xml:space="preserve"> the Supreme Court held that a bankruptcy court lacked constitutional power to adjudicate and enter judgment on a counterclaim asserted by a debtor</w:t>
      </w:r>
      <w:r w:rsidR="008B54D4">
        <w:rPr>
          <w:color w:val="000000"/>
        </w:rPr>
        <w:t>,</w:t>
      </w:r>
      <w:r>
        <w:rPr>
          <w:color w:val="000000"/>
        </w:rPr>
        <w:t xml:space="preserve"> Vickie Marshall (aka Anna Nicole Smith) in an adversary proceeding that a creditor (her stepson) had filed against her</w:t>
      </w:r>
      <w:r w:rsidR="006A227C">
        <w:rPr>
          <w:color w:val="000000"/>
        </w:rPr>
        <w:t xml:space="preserve">.  </w:t>
      </w:r>
      <w:r>
        <w:rPr>
          <w:color w:val="000000"/>
        </w:rPr>
        <w:t xml:space="preserve">The counterclaim (for tortious interference with an </w:t>
      </w:r>
      <w:r>
        <w:rPr>
          <w:i/>
          <w:iCs/>
          <w:color w:val="000000"/>
        </w:rPr>
        <w:t>inter vivos</w:t>
      </w:r>
      <w:r>
        <w:rPr>
          <w:color w:val="000000"/>
        </w:rPr>
        <w:t xml:space="preserve"> gift from the debtor Marshall</w:t>
      </w:r>
      <w:r w:rsidR="008B54D4">
        <w:rPr>
          <w:color w:val="000000"/>
        </w:rPr>
        <w:t>’</w:t>
      </w:r>
      <w:r>
        <w:rPr>
          <w:color w:val="000000"/>
        </w:rPr>
        <w:t>s late husband</w:t>
      </w:r>
      <w:r w:rsidR="008B54D4">
        <w:rPr>
          <w:color w:val="000000"/>
        </w:rPr>
        <w:t>,</w:t>
      </w:r>
      <w:r>
        <w:rPr>
          <w:color w:val="000000"/>
        </w:rPr>
        <w:t xml:space="preserve"> who was also the creditor</w:t>
      </w:r>
      <w:r w:rsidR="008B54D4">
        <w:rPr>
          <w:color w:val="000000"/>
        </w:rPr>
        <w:t>’</w:t>
      </w:r>
      <w:r>
        <w:rPr>
          <w:color w:val="000000"/>
        </w:rPr>
        <w:t>s father) did not arise under title 11</w:t>
      </w:r>
      <w:r w:rsidR="008B54D4">
        <w:rPr>
          <w:color w:val="000000"/>
        </w:rPr>
        <w:t>,</w:t>
      </w:r>
      <w:r>
        <w:rPr>
          <w:color w:val="000000"/>
        </w:rPr>
        <w:t xml:space="preserve"> nor did it arise in a title 11 case</w:t>
      </w:r>
      <w:r w:rsidR="006A227C">
        <w:rPr>
          <w:color w:val="000000"/>
        </w:rPr>
        <w:t xml:space="preserve">.  </w:t>
      </w:r>
      <w:r>
        <w:rPr>
          <w:color w:val="000000"/>
        </w:rPr>
        <w:t>Even though the claim was asserted in the context of a bankruptcy proceeding</w:t>
      </w:r>
      <w:r w:rsidR="008B54D4">
        <w:rPr>
          <w:color w:val="000000"/>
        </w:rPr>
        <w:t>,</w:t>
      </w:r>
      <w:r>
        <w:rPr>
          <w:color w:val="000000"/>
        </w:rPr>
        <w:t xml:space="preserve"> it existed prior to and was independent of debtor Marshall</w:t>
      </w:r>
      <w:r w:rsidR="008B54D4">
        <w:rPr>
          <w:color w:val="000000"/>
        </w:rPr>
        <w:t>’</w:t>
      </w:r>
      <w:r>
        <w:rPr>
          <w:color w:val="000000"/>
        </w:rPr>
        <w:t>s bankruptcy case.</w:t>
      </w:r>
    </w:p>
    <w:p w14:paraId="58C45CAC" w14:textId="7BAE1EC0" w:rsidR="00A77BBD" w:rsidRDefault="00A77BBD" w:rsidP="00A77BBD">
      <w:pPr>
        <w:pStyle w:val="BodyTextFirstIndent"/>
      </w:pPr>
      <w:r>
        <w:rPr>
          <w:color w:val="000000"/>
        </w:rPr>
        <w:t>The Supreme Court ruled that Congress could not “withdraw from judicial cognizance any matter which</w:t>
      </w:r>
      <w:r w:rsidR="008B54D4">
        <w:rPr>
          <w:color w:val="000000"/>
        </w:rPr>
        <w:t>,</w:t>
      </w:r>
      <w:r>
        <w:rPr>
          <w:color w:val="000000"/>
        </w:rPr>
        <w:t xml:space="preserve"> from its nature</w:t>
      </w:r>
      <w:r w:rsidR="008B54D4">
        <w:rPr>
          <w:color w:val="000000"/>
        </w:rPr>
        <w:t>,</w:t>
      </w:r>
      <w:r>
        <w:rPr>
          <w:color w:val="000000"/>
        </w:rPr>
        <w:t xml:space="preserve"> is the subject of a suit at common law</w:t>
      </w:r>
      <w:r w:rsidR="008B54D4">
        <w:rPr>
          <w:color w:val="000000"/>
        </w:rPr>
        <w:t>,</w:t>
      </w:r>
      <w:r>
        <w:rPr>
          <w:color w:val="000000"/>
        </w:rPr>
        <w:t xml:space="preserve"> or in equity</w:t>
      </w:r>
      <w:r w:rsidR="008B54D4">
        <w:rPr>
          <w:color w:val="000000"/>
        </w:rPr>
        <w:t>,</w:t>
      </w:r>
      <w:r>
        <w:rPr>
          <w:color w:val="000000"/>
        </w:rPr>
        <w:t xml:space="preserve"> or in admiralty</w:t>
      </w:r>
      <w:r w:rsidR="00FA79C1">
        <w:rPr>
          <w:color w:val="000000"/>
        </w:rPr>
        <w:t xml:space="preserve">.”  </w:t>
      </w:r>
      <w:r>
        <w:rPr>
          <w:i/>
          <w:iCs/>
          <w:color w:val="000000"/>
        </w:rPr>
        <w:t>Murray</w:t>
      </w:r>
      <w:r w:rsidR="008B54D4">
        <w:rPr>
          <w:i/>
          <w:iCs/>
          <w:color w:val="000000"/>
        </w:rPr>
        <w:t>’</w:t>
      </w:r>
      <w:r>
        <w:rPr>
          <w:i/>
          <w:iCs/>
          <w:color w:val="000000"/>
        </w:rPr>
        <w:t>s Lessee</w:t>
      </w:r>
      <w:r w:rsidR="00E150C1">
        <w:rPr>
          <w:i/>
          <w:iCs/>
          <w:color w:val="000000"/>
        </w:rPr>
        <w:t xml:space="preserve"> v. </w:t>
      </w:r>
      <w:r>
        <w:rPr>
          <w:i/>
          <w:iCs/>
          <w:color w:val="000000"/>
        </w:rPr>
        <w:t>Hoboken Land &amp; Improvement Co</w:t>
      </w:r>
      <w:r>
        <w:rPr>
          <w:color w:val="000000"/>
        </w:rPr>
        <w:t>.</w:t>
      </w:r>
      <w:r w:rsidR="008B54D4">
        <w:rPr>
          <w:color w:val="000000"/>
        </w:rPr>
        <w:t>,</w:t>
      </w:r>
      <w:hyperlink r:id="rId61" w:history="1">
        <w:r>
          <w:rPr>
            <w:color w:val="000000"/>
          </w:rPr>
          <w:t xml:space="preserve"> 59 </w:t>
        </w:r>
        <w:r w:rsidR="002F10FB">
          <w:rPr>
            <w:color w:val="000000"/>
          </w:rPr>
          <w:t xml:space="preserve">U.S. </w:t>
        </w:r>
        <w:r>
          <w:rPr>
            <w:color w:val="000000"/>
          </w:rPr>
          <w:t>272</w:t>
        </w:r>
        <w:r w:rsidR="008B54D4">
          <w:rPr>
            <w:color w:val="000000"/>
          </w:rPr>
          <w:t>,</w:t>
        </w:r>
        <w:r>
          <w:rPr>
            <w:color w:val="000000"/>
          </w:rPr>
          <w:t xml:space="preserve"> 284</w:t>
        </w:r>
      </w:hyperlink>
      <w:r>
        <w:rPr>
          <w:color w:val="000000"/>
        </w:rPr>
        <w:t xml:space="preserve"> (1855)</w:t>
      </w:r>
      <w:r w:rsidR="006A227C">
        <w:rPr>
          <w:color w:val="000000"/>
        </w:rPr>
        <w:t xml:space="preserve">.  </w:t>
      </w:r>
      <w:r>
        <w:rPr>
          <w:color w:val="000000"/>
        </w:rPr>
        <w:t>Because Marshall</w:t>
      </w:r>
      <w:r w:rsidR="008B54D4">
        <w:rPr>
          <w:color w:val="000000"/>
        </w:rPr>
        <w:t>’</w:t>
      </w:r>
      <w:r>
        <w:rPr>
          <w:color w:val="000000"/>
        </w:rPr>
        <w:t>s counterclaim for tortious interference was just such a claim</w:t>
      </w:r>
      <w:r w:rsidR="008B54D4">
        <w:rPr>
          <w:color w:val="000000"/>
        </w:rPr>
        <w:t>,</w:t>
      </w:r>
      <w:r>
        <w:rPr>
          <w:color w:val="000000"/>
        </w:rPr>
        <w:t xml:space="preserve"> it could only be adjudicated to final judgment by an Article III court; and Congress had no power to alter that simply because the counterclaim might have “some bearing on a bankruptcy case</w:t>
      </w:r>
      <w:r w:rsidR="00FA79C1">
        <w:rPr>
          <w:color w:val="000000"/>
        </w:rPr>
        <w:t xml:space="preserve">.”  </w:t>
      </w:r>
      <w:r>
        <w:rPr>
          <w:i/>
          <w:iCs/>
          <w:color w:val="000000"/>
        </w:rPr>
        <w:t>Stern</w:t>
      </w:r>
      <w:r w:rsidR="008B54D4" w:rsidRPr="00522B24">
        <w:rPr>
          <w:color w:val="000000"/>
        </w:rPr>
        <w:t>,</w:t>
      </w:r>
      <w:r>
        <w:rPr>
          <w:color w:val="000000"/>
        </w:rPr>
        <w:t xml:space="preserve"> </w:t>
      </w:r>
      <w:hyperlink r:id="rId62" w:history="1">
        <w:r>
          <w:rPr>
            <w:color w:val="000000"/>
          </w:rPr>
          <w:t xml:space="preserve">564 </w:t>
        </w:r>
        <w:r w:rsidR="002F10FB">
          <w:rPr>
            <w:color w:val="000000"/>
          </w:rPr>
          <w:t xml:space="preserve">U.S. </w:t>
        </w:r>
        <w:r>
          <w:rPr>
            <w:color w:val="000000"/>
          </w:rPr>
          <w:t>at 499</w:t>
        </w:r>
      </w:hyperlink>
      <w:r>
        <w:rPr>
          <w:color w:val="000000"/>
        </w:rPr>
        <w:t>.</w:t>
      </w:r>
    </w:p>
    <w:p w14:paraId="00240CA1" w14:textId="136AB7A3" w:rsidR="00A77BBD" w:rsidRDefault="00A77BBD" w:rsidP="00A77BBD">
      <w:pPr>
        <w:pStyle w:val="BodyTextFirstIndent"/>
      </w:pPr>
      <w:r>
        <w:rPr>
          <w:color w:val="000000"/>
        </w:rPr>
        <w:t>In this case</w:t>
      </w:r>
      <w:r w:rsidR="008B54D4">
        <w:rPr>
          <w:color w:val="000000"/>
        </w:rPr>
        <w:t>,</w:t>
      </w:r>
      <w:r>
        <w:rPr>
          <w:color w:val="000000"/>
        </w:rPr>
        <w:t xml:space="preserve"> the Bankruptcy </w:t>
      </w:r>
      <w:r w:rsidR="0081115E">
        <w:rPr>
          <w:color w:val="000000"/>
        </w:rPr>
        <w:t>Court</w:t>
      </w:r>
      <w:r>
        <w:rPr>
          <w:color w:val="000000"/>
        </w:rPr>
        <w:t xml:space="preserve"> improperly </w:t>
      </w:r>
      <w:r w:rsidR="0073548B">
        <w:rPr>
          <w:color w:val="000000"/>
        </w:rPr>
        <w:t>merged</w:t>
      </w:r>
      <w:r>
        <w:rPr>
          <w:color w:val="000000"/>
        </w:rPr>
        <w:t xml:space="preserve"> his authority to confirm a plan of reorganization (a core function of a bankruptcy court) with his authority to finally dispose of claims that were non-consensually extinguished pursuant to that plan over which - as he himself recognized - he has only “related to” jurisdiction over the third-party claims against the non-debtor </w:t>
      </w:r>
      <w:r w:rsidR="00E82FD6">
        <w:rPr>
          <w:color w:val="000000"/>
        </w:rPr>
        <w:t>Packler</w:t>
      </w:r>
      <w:r>
        <w:rPr>
          <w:color w:val="000000"/>
        </w:rPr>
        <w:t>s</w:t>
      </w:r>
      <w:r w:rsidR="006A227C">
        <w:rPr>
          <w:color w:val="000000"/>
        </w:rPr>
        <w:t xml:space="preserve">.  </w:t>
      </w:r>
      <w:r>
        <w:rPr>
          <w:i/>
          <w:iCs/>
          <w:color w:val="000000"/>
        </w:rPr>
        <w:t xml:space="preserve">In re </w:t>
      </w:r>
      <w:r w:rsidR="006239B5">
        <w:rPr>
          <w:i/>
          <w:iCs/>
          <w:color w:val="000000"/>
        </w:rPr>
        <w:t>Oxy</w:t>
      </w:r>
      <w:r>
        <w:rPr>
          <w:i/>
          <w:iCs/>
          <w:color w:val="000000"/>
        </w:rPr>
        <w:t xml:space="preserve"> Pharma L.P.</w:t>
      </w:r>
      <w:r w:rsidR="008B54D4">
        <w:rPr>
          <w:color w:val="000000"/>
        </w:rPr>
        <w:t>,</w:t>
      </w:r>
      <w:r>
        <w:rPr>
          <w:color w:val="000000"/>
        </w:rPr>
        <w:t xml:space="preserve"> </w:t>
      </w:r>
      <w:hyperlink r:id="rId63" w:history="1">
        <w:r>
          <w:rPr>
            <w:color w:val="000000"/>
          </w:rPr>
          <w:t>2021 WL 4240974</w:t>
        </w:r>
      </w:hyperlink>
      <w:r w:rsidR="008B54D4">
        <w:rPr>
          <w:color w:val="000000"/>
        </w:rPr>
        <w:t>,</w:t>
      </w:r>
      <w:r>
        <w:rPr>
          <w:color w:val="000000"/>
        </w:rPr>
        <w:t xml:space="preserve"> at *36-38</w:t>
      </w:r>
      <w:r w:rsidR="006A227C">
        <w:rPr>
          <w:color w:val="000000"/>
        </w:rPr>
        <w:t xml:space="preserve">.  </w:t>
      </w:r>
      <w:r>
        <w:rPr>
          <w:i/>
          <w:iCs/>
          <w:color w:val="000000"/>
        </w:rPr>
        <w:t>Stern</w:t>
      </w:r>
      <w:r>
        <w:rPr>
          <w:color w:val="000000"/>
        </w:rPr>
        <w:t xml:space="preserve"> itself illustrates that not every issue that is litigated under the umbrella of a core proceeding is</w:t>
      </w:r>
      <w:r w:rsidR="008B54D4">
        <w:rPr>
          <w:color w:val="000000"/>
        </w:rPr>
        <w:t>,</w:t>
      </w:r>
      <w:r>
        <w:rPr>
          <w:color w:val="000000"/>
        </w:rPr>
        <w:t xml:space="preserve"> to use Judge </w:t>
      </w:r>
      <w:r w:rsidR="00E82FD6">
        <w:rPr>
          <w:color w:val="000000"/>
        </w:rPr>
        <w:t>Wains</w:t>
      </w:r>
      <w:r w:rsidR="008B54D4">
        <w:rPr>
          <w:color w:val="000000"/>
        </w:rPr>
        <w:t>’</w:t>
      </w:r>
      <w:r>
        <w:rPr>
          <w:color w:val="000000"/>
        </w:rPr>
        <w:t>s phrase</w:t>
      </w:r>
      <w:r w:rsidR="008B54D4">
        <w:rPr>
          <w:color w:val="000000"/>
        </w:rPr>
        <w:t>,</w:t>
      </w:r>
      <w:r>
        <w:rPr>
          <w:color w:val="000000"/>
        </w:rPr>
        <w:t xml:space="preserve"> “constitutionally core</w:t>
      </w:r>
      <w:r w:rsidR="00FA79C1">
        <w:rPr>
          <w:color w:val="000000"/>
        </w:rPr>
        <w:t xml:space="preserve">.”  </w:t>
      </w:r>
      <w:r>
        <w:rPr>
          <w:color w:val="000000"/>
        </w:rPr>
        <w:t>The stepson-creditor</w:t>
      </w:r>
      <w:r w:rsidR="008B54D4">
        <w:rPr>
          <w:color w:val="000000"/>
        </w:rPr>
        <w:t>’</w:t>
      </w:r>
      <w:r>
        <w:rPr>
          <w:color w:val="000000"/>
        </w:rPr>
        <w:t>s claim against Marshall</w:t>
      </w:r>
      <w:r w:rsidR="008B54D4">
        <w:rPr>
          <w:color w:val="000000"/>
        </w:rPr>
        <w:t>’</w:t>
      </w:r>
      <w:r>
        <w:rPr>
          <w:color w:val="000000"/>
        </w:rPr>
        <w:t>s estate was properly litigated to judgment by the bankruptcy court in a claims allowance adversary proceeding - a core proceeding - but because the debtor</w:t>
      </w:r>
      <w:r w:rsidR="008B54D4">
        <w:rPr>
          <w:color w:val="000000"/>
        </w:rPr>
        <w:t>’</w:t>
      </w:r>
      <w:r>
        <w:rPr>
          <w:color w:val="000000"/>
        </w:rPr>
        <w:t>s counterclaim was not a “core” claim</w:t>
      </w:r>
      <w:r w:rsidR="008B54D4">
        <w:rPr>
          <w:color w:val="000000"/>
        </w:rPr>
        <w:t>,</w:t>
      </w:r>
      <w:r>
        <w:rPr>
          <w:color w:val="000000"/>
        </w:rPr>
        <w:t xml:space="preserve"> it could not be adjudicated to final judgment by the Bankruptcy Court</w:t>
      </w:r>
      <w:r w:rsidR="008B54D4">
        <w:rPr>
          <w:color w:val="000000"/>
        </w:rPr>
        <w:t>,</w:t>
      </w:r>
      <w:r>
        <w:rPr>
          <w:color w:val="000000"/>
        </w:rPr>
        <w:t xml:space="preserve"> even though it would impact how much the creditor was ultimately owed.</w:t>
      </w:r>
    </w:p>
    <w:p w14:paraId="02051D50" w14:textId="4EC60B97" w:rsidR="00A77BBD" w:rsidRDefault="00A77BBD" w:rsidP="00A77BBD">
      <w:pPr>
        <w:pStyle w:val="BodyTextFirstIndent"/>
      </w:pPr>
      <w:r>
        <w:rPr>
          <w:color w:val="000000"/>
        </w:rPr>
        <w:t xml:space="preserve">Judge </w:t>
      </w:r>
      <w:r w:rsidR="00E82FD6">
        <w:rPr>
          <w:color w:val="000000"/>
        </w:rPr>
        <w:t>Wains</w:t>
      </w:r>
      <w:r>
        <w:rPr>
          <w:color w:val="000000"/>
        </w:rPr>
        <w:t xml:space="preserve"> reasoned that the non-consensual third-party releases that he was approving were “constitutionally core” under </w:t>
      </w:r>
      <w:r>
        <w:rPr>
          <w:i/>
          <w:iCs/>
          <w:color w:val="000000"/>
        </w:rPr>
        <w:t>Stern</w:t>
      </w:r>
      <w:r>
        <w:rPr>
          <w:color w:val="000000"/>
        </w:rPr>
        <w:t xml:space="preserve"> because plan confirmation is a “fundamentally central aspect of a Chapter 11 case</w:t>
      </w:r>
      <w:r w:rsidR="008B54D4">
        <w:rPr>
          <w:color w:val="000000"/>
        </w:rPr>
        <w:t>’</w:t>
      </w:r>
      <w:r>
        <w:rPr>
          <w:color w:val="000000"/>
        </w:rPr>
        <w:t>s adjustment of the debtor/creditor relationship</w:t>
      </w:r>
      <w:r w:rsidR="00FA79C1">
        <w:rPr>
          <w:color w:val="000000"/>
        </w:rPr>
        <w:t xml:space="preserve">.”  </w:t>
      </w:r>
      <w:r w:rsidR="00FD7892">
        <w:rPr>
          <w:i/>
          <w:iCs/>
          <w:color w:val="000000"/>
        </w:rPr>
        <w:t xml:space="preserve">Id. </w:t>
      </w:r>
      <w:r>
        <w:rPr>
          <w:color w:val="000000"/>
        </w:rPr>
        <w:t>at *40</w:t>
      </w:r>
      <w:r w:rsidR="006A227C">
        <w:rPr>
          <w:color w:val="000000"/>
        </w:rPr>
        <w:t xml:space="preserve">.  </w:t>
      </w:r>
      <w:r>
        <w:rPr>
          <w:color w:val="000000"/>
        </w:rPr>
        <w:t xml:space="preserve">But nothing in </w:t>
      </w:r>
      <w:r>
        <w:rPr>
          <w:i/>
          <w:iCs/>
          <w:color w:val="000000"/>
        </w:rPr>
        <w:t>Stern</w:t>
      </w:r>
      <w:r>
        <w:rPr>
          <w:color w:val="000000"/>
        </w:rPr>
        <w:t xml:space="preserve"> or any other case suggests that a party otherwise entitled to have a matter adjudicated by an Article III court forfeits that constitutional right if the matter is disposed of as part of a plan of reorganization in bankruptcy</w:t>
      </w:r>
      <w:r w:rsidR="006A227C">
        <w:rPr>
          <w:color w:val="000000"/>
        </w:rPr>
        <w:t xml:space="preserve">.  </w:t>
      </w:r>
      <w:r>
        <w:rPr>
          <w:color w:val="000000"/>
        </w:rPr>
        <w:t>Were it otherwise</w:t>
      </w:r>
      <w:r w:rsidR="008B54D4">
        <w:rPr>
          <w:color w:val="000000"/>
        </w:rPr>
        <w:t>,</w:t>
      </w:r>
      <w:r>
        <w:rPr>
          <w:color w:val="000000"/>
        </w:rPr>
        <w:t xml:space="preserve"> then parties could manufacture a bankruptcy court</w:t>
      </w:r>
      <w:r w:rsidR="008B54D4">
        <w:rPr>
          <w:color w:val="000000"/>
        </w:rPr>
        <w:t>’</w:t>
      </w:r>
      <w:r>
        <w:rPr>
          <w:color w:val="000000"/>
        </w:rPr>
        <w:t xml:space="preserve">s </w:t>
      </w:r>
      <w:r>
        <w:rPr>
          <w:i/>
          <w:iCs/>
          <w:color w:val="000000"/>
        </w:rPr>
        <w:t>Stern</w:t>
      </w:r>
      <w:r>
        <w:rPr>
          <w:color w:val="000000"/>
        </w:rPr>
        <w:t xml:space="preserve"> authority simply by inserting the resolution of some otherwise non-core matter into a plan.</w:t>
      </w:r>
    </w:p>
    <w:p w14:paraId="1942289C" w14:textId="0220EFDF" w:rsidR="00A77BBD" w:rsidRDefault="00A77BBD" w:rsidP="00A77BBD">
      <w:pPr>
        <w:pStyle w:val="BodyTextFirstIndent"/>
      </w:pPr>
      <w:r>
        <w:rPr>
          <w:color w:val="000000"/>
        </w:rPr>
        <w:t xml:space="preserve">The </w:t>
      </w:r>
      <w:r w:rsidR="0073548B">
        <w:rPr>
          <w:color w:val="000000"/>
        </w:rPr>
        <w:t>Bankruptcy Court</w:t>
      </w:r>
      <w:r>
        <w:rPr>
          <w:color w:val="000000"/>
        </w:rPr>
        <w:t xml:space="preserve"> relied on the Third Circuit</w:t>
      </w:r>
      <w:r w:rsidR="008B54D4">
        <w:rPr>
          <w:color w:val="000000"/>
        </w:rPr>
        <w:t>’</w:t>
      </w:r>
      <w:r>
        <w:rPr>
          <w:color w:val="000000"/>
        </w:rPr>
        <w:t xml:space="preserve">s recent decision in </w:t>
      </w:r>
      <w:r>
        <w:rPr>
          <w:i/>
          <w:iCs/>
          <w:color w:val="000000"/>
        </w:rPr>
        <w:t>In re Millennium Lab Holdings II</w:t>
      </w:r>
      <w:r w:rsidR="008B54D4">
        <w:rPr>
          <w:i/>
          <w:iCs/>
          <w:color w:val="000000"/>
        </w:rPr>
        <w:t>,</w:t>
      </w:r>
      <w:r>
        <w:rPr>
          <w:i/>
          <w:iCs/>
          <w:color w:val="000000"/>
        </w:rPr>
        <w:t xml:space="preserve"> LLC</w:t>
      </w:r>
      <w:r>
        <w:rPr>
          <w:color w:val="000000"/>
        </w:rPr>
        <w:t>.</w:t>
      </w:r>
      <w:r w:rsidR="008B54D4">
        <w:rPr>
          <w:color w:val="000000"/>
        </w:rPr>
        <w:t>,</w:t>
      </w:r>
      <w:hyperlink r:id="rId64" w:history="1">
        <w:r>
          <w:rPr>
            <w:color w:val="000000"/>
          </w:rPr>
          <w:t xml:space="preserve"> 945 F.3d 126</w:t>
        </w:r>
        <w:r w:rsidR="008B54D4">
          <w:rPr>
            <w:color w:val="000000"/>
          </w:rPr>
          <w:t>,</w:t>
        </w:r>
        <w:r>
          <w:rPr>
            <w:color w:val="000000"/>
          </w:rPr>
          <w:t xml:space="preserve"> 139 </w:t>
        </w:r>
      </w:hyperlink>
      <w:r>
        <w:rPr>
          <w:color w:val="000000"/>
        </w:rPr>
        <w:t xml:space="preserve">(3d </w:t>
      </w:r>
      <w:r w:rsidR="00E97455">
        <w:rPr>
          <w:color w:val="000000"/>
        </w:rPr>
        <w:t xml:space="preserve">Cir. </w:t>
      </w:r>
      <w:r>
        <w:rPr>
          <w:color w:val="000000"/>
        </w:rPr>
        <w:t>2019)</w:t>
      </w:r>
      <w:r w:rsidR="008B54D4">
        <w:rPr>
          <w:color w:val="000000"/>
        </w:rPr>
        <w:t>,</w:t>
      </w:r>
      <w:r>
        <w:rPr>
          <w:color w:val="000000"/>
        </w:rPr>
        <w:t xml:space="preserve"> </w:t>
      </w:r>
      <w:r>
        <w:rPr>
          <w:i/>
          <w:iCs/>
          <w:color w:val="000000"/>
        </w:rPr>
        <w:t>cert</w:t>
      </w:r>
      <w:r w:rsidR="006A227C">
        <w:rPr>
          <w:i/>
          <w:iCs/>
          <w:color w:val="000000"/>
        </w:rPr>
        <w:t xml:space="preserve">. </w:t>
      </w:r>
      <w:r>
        <w:rPr>
          <w:i/>
          <w:iCs/>
          <w:color w:val="000000"/>
        </w:rPr>
        <w:t>denied sub nom</w:t>
      </w:r>
      <w:r w:rsidR="006A227C">
        <w:rPr>
          <w:color w:val="000000"/>
        </w:rPr>
        <w:t xml:space="preserve">. </w:t>
      </w:r>
      <w:r>
        <w:rPr>
          <w:i/>
          <w:iCs/>
          <w:color w:val="000000"/>
        </w:rPr>
        <w:t>ISL Loan Tr</w:t>
      </w:r>
      <w:r w:rsidR="006A227C">
        <w:rPr>
          <w:i/>
          <w:iCs/>
          <w:color w:val="000000"/>
        </w:rPr>
        <w:t>.</w:t>
      </w:r>
      <w:r w:rsidR="00E150C1">
        <w:rPr>
          <w:i/>
          <w:iCs/>
          <w:color w:val="000000"/>
        </w:rPr>
        <w:t xml:space="preserve"> v. </w:t>
      </w:r>
      <w:r>
        <w:rPr>
          <w:i/>
          <w:iCs/>
          <w:color w:val="000000"/>
        </w:rPr>
        <w:t>Millennium Lab Holdings II</w:t>
      </w:r>
      <w:r w:rsidR="008B54D4">
        <w:rPr>
          <w:i/>
          <w:iCs/>
          <w:color w:val="000000"/>
        </w:rPr>
        <w:t>,</w:t>
      </w:r>
      <w:r>
        <w:rPr>
          <w:i/>
          <w:iCs/>
          <w:color w:val="000000"/>
        </w:rPr>
        <w:t xml:space="preserve"> LLC</w:t>
      </w:r>
      <w:r w:rsidR="008B54D4">
        <w:rPr>
          <w:color w:val="000000"/>
        </w:rPr>
        <w:t>,</w:t>
      </w:r>
      <w:hyperlink r:id="rId65" w:history="1">
        <w:r>
          <w:rPr>
            <w:color w:val="000000"/>
          </w:rPr>
          <w:t xml:space="preserve"> 140 </w:t>
        </w:r>
        <w:r w:rsidR="009108C3">
          <w:rPr>
            <w:color w:val="000000"/>
          </w:rPr>
          <w:t xml:space="preserve">S. Ct. </w:t>
        </w:r>
        <w:r>
          <w:rPr>
            <w:color w:val="000000"/>
          </w:rPr>
          <w:t xml:space="preserve">2805 </w:t>
        </w:r>
      </w:hyperlink>
      <w:r>
        <w:rPr>
          <w:color w:val="000000"/>
        </w:rPr>
        <w:t>(2020)</w:t>
      </w:r>
      <w:r w:rsidR="006A227C">
        <w:rPr>
          <w:color w:val="000000"/>
        </w:rPr>
        <w:t xml:space="preserve">.  </w:t>
      </w:r>
      <w:r>
        <w:rPr>
          <w:color w:val="000000"/>
        </w:rPr>
        <w:t xml:space="preserve">In </w:t>
      </w:r>
      <w:r>
        <w:rPr>
          <w:i/>
          <w:iCs/>
          <w:color w:val="000000"/>
        </w:rPr>
        <w:t>Millennium</w:t>
      </w:r>
      <w:r w:rsidR="008B54D4">
        <w:rPr>
          <w:color w:val="000000"/>
        </w:rPr>
        <w:t>,</w:t>
      </w:r>
      <w:r>
        <w:rPr>
          <w:color w:val="000000"/>
        </w:rPr>
        <w:t xml:space="preserve"> the court</w:t>
      </w:r>
      <w:r w:rsidR="008B54D4">
        <w:rPr>
          <w:color w:val="000000"/>
        </w:rPr>
        <w:t>,</w:t>
      </w:r>
      <w:r>
        <w:rPr>
          <w:color w:val="000000"/>
        </w:rPr>
        <w:t xml:space="preserve"> like Judge </w:t>
      </w:r>
      <w:r w:rsidR="00E82FD6">
        <w:rPr>
          <w:color w:val="000000"/>
        </w:rPr>
        <w:t>Wains</w:t>
      </w:r>
      <w:r>
        <w:rPr>
          <w:color w:val="000000"/>
        </w:rPr>
        <w:t xml:space="preserve"> in this case</w:t>
      </w:r>
      <w:r w:rsidR="008B54D4">
        <w:rPr>
          <w:color w:val="000000"/>
        </w:rPr>
        <w:t>,</w:t>
      </w:r>
      <w:r>
        <w:rPr>
          <w:color w:val="000000"/>
        </w:rPr>
        <w:t xml:space="preserve"> concluded that the “operative proceeding” for purposes of </w:t>
      </w:r>
      <w:r>
        <w:rPr>
          <w:i/>
          <w:iCs/>
          <w:color w:val="000000"/>
        </w:rPr>
        <w:t xml:space="preserve">Stern </w:t>
      </w:r>
      <w:r>
        <w:rPr>
          <w:color w:val="000000"/>
        </w:rPr>
        <w:t>analysis was the confirmation proceeding</w:t>
      </w:r>
      <w:r w:rsidR="008B54D4">
        <w:rPr>
          <w:color w:val="000000"/>
        </w:rPr>
        <w:t>,</w:t>
      </w:r>
      <w:r>
        <w:rPr>
          <w:color w:val="000000"/>
        </w:rPr>
        <w:t xml:space="preserve"> not the underlying third-party claim against a non</w:t>
      </w:r>
      <w:r>
        <w:rPr>
          <w:color w:val="000000"/>
        </w:rPr>
        <w:softHyphen/>
        <w:t>debtor that was being released pursuant to the plan</w:t>
      </w:r>
      <w:r w:rsidR="006A227C">
        <w:rPr>
          <w:color w:val="000000"/>
        </w:rPr>
        <w:t xml:space="preserve">.  </w:t>
      </w:r>
      <w:r>
        <w:rPr>
          <w:i/>
          <w:iCs/>
          <w:color w:val="000000"/>
        </w:rPr>
        <w:t>In re Millennium Lab Holdings II</w:t>
      </w:r>
      <w:r w:rsidR="008B54D4">
        <w:rPr>
          <w:i/>
          <w:iCs/>
          <w:color w:val="000000"/>
        </w:rPr>
        <w:t>,</w:t>
      </w:r>
      <w:r>
        <w:rPr>
          <w:i/>
          <w:iCs/>
          <w:color w:val="000000"/>
        </w:rPr>
        <w:t xml:space="preserve"> LLC</w:t>
      </w:r>
      <w:r w:rsidR="008B54D4">
        <w:rPr>
          <w:color w:val="000000"/>
        </w:rPr>
        <w:t>,</w:t>
      </w:r>
      <w:hyperlink r:id="rId66" w:history="1">
        <w:r>
          <w:rPr>
            <w:color w:val="000000"/>
          </w:rPr>
          <w:t xml:space="preserve"> 591</w:t>
        </w:r>
      </w:hyperlink>
      <w:r>
        <w:rPr>
          <w:color w:val="000000"/>
        </w:rPr>
        <w:t xml:space="preserve"> </w:t>
      </w:r>
      <w:hyperlink r:id="rId67" w:history="1">
        <w:r w:rsidR="00755A0D">
          <w:rPr>
            <w:color w:val="000000"/>
          </w:rPr>
          <w:t xml:space="preserve">B.R. </w:t>
        </w:r>
        <w:r>
          <w:rPr>
            <w:color w:val="000000"/>
          </w:rPr>
          <w:t>559</w:t>
        </w:r>
        <w:r w:rsidR="008B54D4">
          <w:rPr>
            <w:color w:val="000000"/>
          </w:rPr>
          <w:t>,</w:t>
        </w:r>
        <w:r>
          <w:rPr>
            <w:color w:val="000000"/>
          </w:rPr>
          <w:t xml:space="preserve"> 574 </w:t>
        </w:r>
      </w:hyperlink>
      <w:r>
        <w:rPr>
          <w:color w:val="000000"/>
        </w:rPr>
        <w:t>(D</w:t>
      </w:r>
      <w:r w:rsidR="006A227C">
        <w:rPr>
          <w:color w:val="000000"/>
        </w:rPr>
        <w:t xml:space="preserve">. </w:t>
      </w:r>
      <w:r>
        <w:rPr>
          <w:color w:val="000000"/>
        </w:rPr>
        <w:t>Del</w:t>
      </w:r>
      <w:r w:rsidR="006A227C">
        <w:rPr>
          <w:color w:val="000000"/>
        </w:rPr>
        <w:t xml:space="preserve">. </w:t>
      </w:r>
      <w:r>
        <w:rPr>
          <w:color w:val="000000"/>
        </w:rPr>
        <w:t>2018)</w:t>
      </w:r>
      <w:r w:rsidR="008B54D4">
        <w:rPr>
          <w:color w:val="000000"/>
        </w:rPr>
        <w:t>,</w:t>
      </w:r>
      <w:r>
        <w:rPr>
          <w:color w:val="000000"/>
        </w:rPr>
        <w:t xml:space="preserve"> </w:t>
      </w:r>
      <w:r>
        <w:rPr>
          <w:i/>
          <w:iCs/>
          <w:color w:val="000000"/>
        </w:rPr>
        <w:t>aff</w:t>
      </w:r>
      <w:r w:rsidR="008B54D4">
        <w:rPr>
          <w:i/>
          <w:iCs/>
          <w:color w:val="000000"/>
        </w:rPr>
        <w:t>’</w:t>
      </w:r>
      <w:r>
        <w:rPr>
          <w:i/>
          <w:iCs/>
          <w:color w:val="000000"/>
        </w:rPr>
        <w:t>d sub nom</w:t>
      </w:r>
      <w:r w:rsidR="006A227C">
        <w:rPr>
          <w:i/>
          <w:iCs/>
          <w:color w:val="000000"/>
        </w:rPr>
        <w:t xml:space="preserve">.  </w:t>
      </w:r>
      <w:r>
        <w:rPr>
          <w:i/>
          <w:iCs/>
          <w:color w:val="000000"/>
        </w:rPr>
        <w:t>In re Millennium Lab Holdings II</w:t>
      </w:r>
      <w:r w:rsidR="008B54D4">
        <w:rPr>
          <w:i/>
          <w:iCs/>
          <w:color w:val="000000"/>
        </w:rPr>
        <w:t>,</w:t>
      </w:r>
      <w:r>
        <w:rPr>
          <w:i/>
          <w:iCs/>
          <w:color w:val="000000"/>
        </w:rPr>
        <w:t xml:space="preserve"> LLC</w:t>
      </w:r>
      <w:r>
        <w:rPr>
          <w:color w:val="000000"/>
        </w:rPr>
        <w:t>.</w:t>
      </w:r>
      <w:r w:rsidR="008B54D4">
        <w:rPr>
          <w:color w:val="000000"/>
        </w:rPr>
        <w:t>,</w:t>
      </w:r>
      <w:hyperlink r:id="rId68" w:history="1">
        <w:r>
          <w:rPr>
            <w:color w:val="000000"/>
          </w:rPr>
          <w:t xml:space="preserve"> 945 F.3d</w:t>
        </w:r>
      </w:hyperlink>
      <w:r>
        <w:rPr>
          <w:color w:val="000000"/>
        </w:rPr>
        <w:t xml:space="preserve"> </w:t>
      </w:r>
      <w:hyperlink r:id="rId69" w:history="1">
        <w:r>
          <w:rPr>
            <w:color w:val="000000"/>
          </w:rPr>
          <w:t xml:space="preserve">126 </w:t>
        </w:r>
      </w:hyperlink>
      <w:r>
        <w:rPr>
          <w:color w:val="000000"/>
        </w:rPr>
        <w:t xml:space="preserve">(3d </w:t>
      </w:r>
      <w:r w:rsidR="00E97455">
        <w:rPr>
          <w:color w:val="000000"/>
        </w:rPr>
        <w:t xml:space="preserve">Cir. </w:t>
      </w:r>
      <w:r>
        <w:rPr>
          <w:color w:val="000000"/>
        </w:rPr>
        <w:t>2019)</w:t>
      </w:r>
      <w:r w:rsidR="006A227C">
        <w:rPr>
          <w:color w:val="000000"/>
        </w:rPr>
        <w:t xml:space="preserve">.  </w:t>
      </w:r>
      <w:r>
        <w:rPr>
          <w:color w:val="000000"/>
        </w:rPr>
        <w:t xml:space="preserve">The Third Circuit read </w:t>
      </w:r>
      <w:r>
        <w:rPr>
          <w:i/>
          <w:iCs/>
          <w:color w:val="000000"/>
        </w:rPr>
        <w:t>Stern</w:t>
      </w:r>
      <w:r>
        <w:rPr>
          <w:color w:val="000000"/>
        </w:rPr>
        <w:t xml:space="preserve"> to allow a bankruptcy court to confirm a plan containing such releases “because the existence of the releases and injunctions” are “</w:t>
      </w:r>
      <w:r w:rsidR="008B54D4">
        <w:rPr>
          <w:color w:val="000000"/>
        </w:rPr>
        <w:t>‘</w:t>
      </w:r>
      <w:r>
        <w:rPr>
          <w:color w:val="000000"/>
        </w:rPr>
        <w:t>integral to the restructuring of the debtor-creditor relationship.</w:t>
      </w:r>
      <w:r w:rsidR="008B54D4">
        <w:rPr>
          <w:color w:val="000000"/>
        </w:rPr>
        <w:t>’</w:t>
      </w:r>
      <w:r>
        <w:rPr>
          <w:color w:val="000000"/>
        </w:rPr>
        <w:t xml:space="preserve">” </w:t>
      </w:r>
      <w:r>
        <w:rPr>
          <w:i/>
          <w:iCs/>
          <w:color w:val="000000"/>
        </w:rPr>
        <w:t>Millennium Lab Holdings II</w:t>
      </w:r>
      <w:r w:rsidR="008B54D4">
        <w:rPr>
          <w:i/>
          <w:iCs/>
          <w:color w:val="000000"/>
        </w:rPr>
        <w:t>,</w:t>
      </w:r>
      <w:r>
        <w:rPr>
          <w:i/>
          <w:iCs/>
          <w:color w:val="000000"/>
        </w:rPr>
        <w:t xml:space="preserve"> LLC</w:t>
      </w:r>
      <w:r>
        <w:rPr>
          <w:color w:val="000000"/>
        </w:rPr>
        <w:t>.</w:t>
      </w:r>
      <w:r w:rsidR="008B54D4">
        <w:rPr>
          <w:color w:val="000000"/>
        </w:rPr>
        <w:t>,</w:t>
      </w:r>
      <w:hyperlink r:id="rId70" w:history="1">
        <w:r>
          <w:rPr>
            <w:color w:val="000000"/>
          </w:rPr>
          <w:t xml:space="preserve"> 945 F.3d</w:t>
        </w:r>
      </w:hyperlink>
      <w:r>
        <w:rPr>
          <w:color w:val="000000"/>
        </w:rPr>
        <w:t xml:space="preserve"> </w:t>
      </w:r>
      <w:hyperlink r:id="rId71" w:history="1">
        <w:r>
          <w:rPr>
            <w:color w:val="000000"/>
          </w:rPr>
          <w:t xml:space="preserve">at 129 </w:t>
        </w:r>
      </w:hyperlink>
      <w:r>
        <w:rPr>
          <w:color w:val="000000"/>
        </w:rPr>
        <w:t xml:space="preserve">(quoting </w:t>
      </w:r>
      <w:r>
        <w:rPr>
          <w:i/>
          <w:iCs/>
          <w:color w:val="000000"/>
        </w:rPr>
        <w:t>Stern</w:t>
      </w:r>
      <w:r w:rsidR="008B54D4">
        <w:rPr>
          <w:color w:val="000000"/>
        </w:rPr>
        <w:t>,</w:t>
      </w:r>
      <w:hyperlink r:id="rId72" w:history="1">
        <w:r>
          <w:rPr>
            <w:color w:val="000000"/>
          </w:rPr>
          <w:t xml:space="preserve"> 564 </w:t>
        </w:r>
        <w:r w:rsidR="002F10FB">
          <w:rPr>
            <w:color w:val="000000"/>
          </w:rPr>
          <w:t xml:space="preserve">U.S. </w:t>
        </w:r>
        <w:r>
          <w:rPr>
            <w:color w:val="000000"/>
          </w:rPr>
          <w:t>at 497</w:t>
        </w:r>
      </w:hyperlink>
      <w:r>
        <w:rPr>
          <w:color w:val="000000"/>
        </w:rPr>
        <w:t>).</w:t>
      </w:r>
    </w:p>
    <w:p w14:paraId="1A1CA069" w14:textId="09AFAD10" w:rsidR="00A77BBD" w:rsidRDefault="00A77BBD" w:rsidP="00A77BBD">
      <w:pPr>
        <w:pStyle w:val="BodyTextFirstIndent"/>
      </w:pPr>
      <w:r>
        <w:rPr>
          <w:color w:val="000000"/>
        </w:rPr>
        <w:t>Perhaps they are</w:t>
      </w:r>
      <w:r w:rsidR="008B54D4">
        <w:rPr>
          <w:color w:val="000000"/>
        </w:rPr>
        <w:t>,</w:t>
      </w:r>
      <w:r>
        <w:rPr>
          <w:color w:val="000000"/>
        </w:rPr>
        <w:t xml:space="preserve"> but that is beside the point</w:t>
      </w:r>
      <w:r w:rsidR="006A227C">
        <w:rPr>
          <w:color w:val="000000"/>
        </w:rPr>
        <w:t xml:space="preserve">.  </w:t>
      </w:r>
      <w:r>
        <w:rPr>
          <w:color w:val="000000"/>
        </w:rPr>
        <w:t xml:space="preserve">In </w:t>
      </w:r>
      <w:r>
        <w:rPr>
          <w:i/>
          <w:iCs/>
          <w:color w:val="000000"/>
        </w:rPr>
        <w:t>Stern</w:t>
      </w:r>
      <w:r w:rsidR="008B54D4">
        <w:rPr>
          <w:color w:val="000000"/>
        </w:rPr>
        <w:t>,</w:t>
      </w:r>
      <w:r>
        <w:rPr>
          <w:color w:val="000000"/>
        </w:rPr>
        <w:t xml:space="preserve"> the Supreme Court held that bankruptcy courts have the power to enter a final judgment only in proceedings that “stem[] from the bankruptcy itself or would necessarily be resolved in the claims allowance process</w:t>
      </w:r>
      <w:r w:rsidR="00FA79C1">
        <w:rPr>
          <w:color w:val="000000"/>
        </w:rPr>
        <w:t xml:space="preserve">.”  </w:t>
      </w:r>
      <w:r>
        <w:rPr>
          <w:i/>
          <w:iCs/>
          <w:color w:val="000000"/>
        </w:rPr>
        <w:t>Stern</w:t>
      </w:r>
      <w:r w:rsidR="008B54D4">
        <w:rPr>
          <w:color w:val="000000"/>
        </w:rPr>
        <w:t>,</w:t>
      </w:r>
      <w:hyperlink r:id="rId73" w:history="1">
        <w:r>
          <w:rPr>
            <w:color w:val="000000"/>
          </w:rPr>
          <w:t xml:space="preserve"> 564</w:t>
        </w:r>
      </w:hyperlink>
      <w:r>
        <w:rPr>
          <w:color w:val="000000"/>
        </w:rPr>
        <w:t xml:space="preserve"> </w:t>
      </w:r>
      <w:hyperlink r:id="rId74" w:history="1">
        <w:r w:rsidR="002F10FB">
          <w:rPr>
            <w:color w:val="000000"/>
          </w:rPr>
          <w:t xml:space="preserve">U.S. </w:t>
        </w:r>
        <w:r>
          <w:rPr>
            <w:color w:val="000000"/>
          </w:rPr>
          <w:t>at 499</w:t>
        </w:r>
      </w:hyperlink>
      <w:r w:rsidR="006A227C">
        <w:rPr>
          <w:color w:val="000000"/>
        </w:rPr>
        <w:t xml:space="preserve">.  </w:t>
      </w:r>
      <w:r>
        <w:rPr>
          <w:color w:val="000000"/>
        </w:rPr>
        <w:t>It did not say that a bankruptcy court could finally dispose of non-core proceedings as long as they were “integral to the restructuring of the debtor-creditor relationship</w:t>
      </w:r>
      <w:r w:rsidR="00FA79C1">
        <w:rPr>
          <w:color w:val="000000"/>
        </w:rPr>
        <w:t xml:space="preserve">.”  </w:t>
      </w:r>
      <w:r>
        <w:rPr>
          <w:color w:val="000000"/>
        </w:rPr>
        <w:t>The counterclaim in the lawsuit between debtor Marshall and her stepson-creditor was integral to the restructuring of their debtor-creditor relationship</w:t>
      </w:r>
      <w:r w:rsidR="008B54D4">
        <w:rPr>
          <w:color w:val="000000"/>
        </w:rPr>
        <w:t>,</w:t>
      </w:r>
      <w:r>
        <w:rPr>
          <w:color w:val="000000"/>
        </w:rPr>
        <w:t xml:space="preserve"> but it was not a core proceeding</w:t>
      </w:r>
      <w:r w:rsidR="008B54D4">
        <w:rPr>
          <w:color w:val="000000"/>
        </w:rPr>
        <w:t>,</w:t>
      </w:r>
      <w:r>
        <w:rPr>
          <w:color w:val="000000"/>
        </w:rPr>
        <w:t xml:space="preserve"> so the bankruptcy court could not finally adjudicate it</w:t>
      </w:r>
      <w:r w:rsidR="006A227C">
        <w:rPr>
          <w:color w:val="000000"/>
        </w:rPr>
        <w:t xml:space="preserve">.  </w:t>
      </w:r>
      <w:r>
        <w:rPr>
          <w:color w:val="000000"/>
        </w:rPr>
        <w:t>The correct constitutional question</w:t>
      </w:r>
      <w:r w:rsidR="008B54D4">
        <w:rPr>
          <w:color w:val="000000"/>
        </w:rPr>
        <w:t>,</w:t>
      </w:r>
      <w:r>
        <w:rPr>
          <w:color w:val="000000"/>
        </w:rPr>
        <w:t xml:space="preserve"> and the question on which the Bankruptcy Court should have focused in this case</w:t>
      </w:r>
      <w:r w:rsidR="008B54D4">
        <w:rPr>
          <w:color w:val="000000"/>
        </w:rPr>
        <w:t>,</w:t>
      </w:r>
      <w:r>
        <w:rPr>
          <w:color w:val="000000"/>
        </w:rPr>
        <w:t xml:space="preserve"> is whether the third- party claims released and enjoined by the Bankruptcy Court either stem from the bankruptcy itself or would necessarily be resolved in the claims allowance process - not whether the release and injunction are “integral to the restructuring of the debtor-creditor relationship.”</w:t>
      </w:r>
    </w:p>
    <w:p w14:paraId="57429520" w14:textId="158483F3" w:rsidR="00A77BBD" w:rsidRDefault="00A77BBD" w:rsidP="00A77BBD">
      <w:pPr>
        <w:pStyle w:val="BodyTextFirstIndent"/>
      </w:pPr>
      <w:r>
        <w:rPr>
          <w:color w:val="000000"/>
        </w:rPr>
        <w:t xml:space="preserve">The third-party claims at issue neither stem from </w:t>
      </w:r>
      <w:r w:rsidR="006239B5">
        <w:rPr>
          <w:color w:val="000000"/>
        </w:rPr>
        <w:t>Oxy</w:t>
      </w:r>
      <w:r w:rsidR="008B54D4">
        <w:rPr>
          <w:color w:val="000000"/>
        </w:rPr>
        <w:t>’</w:t>
      </w:r>
      <w:r>
        <w:rPr>
          <w:color w:val="000000"/>
        </w:rPr>
        <w:t>s bankruptcy nor can they be resolved in the claims allowance process</w:t>
      </w:r>
      <w:r w:rsidR="006A227C">
        <w:rPr>
          <w:color w:val="000000"/>
        </w:rPr>
        <w:t xml:space="preserve">.  </w:t>
      </w:r>
      <w:r>
        <w:rPr>
          <w:color w:val="000000"/>
        </w:rPr>
        <w:t>Yet those claims are being finally disposed of pursuant to the Plan; they are being released and extinguished</w:t>
      </w:r>
      <w:r w:rsidR="008B54D4">
        <w:rPr>
          <w:color w:val="000000"/>
        </w:rPr>
        <w:t>,</w:t>
      </w:r>
      <w:r>
        <w:rPr>
          <w:color w:val="000000"/>
        </w:rPr>
        <w:t xml:space="preserve"> without the claimants</w:t>
      </w:r>
      <w:r w:rsidR="008B54D4">
        <w:rPr>
          <w:color w:val="000000"/>
        </w:rPr>
        <w:t>’</w:t>
      </w:r>
      <w:r>
        <w:rPr>
          <w:color w:val="000000"/>
        </w:rPr>
        <w:t xml:space="preserve"> consent and without any payment</w:t>
      </w:r>
      <w:r w:rsidR="008B54D4">
        <w:rPr>
          <w:color w:val="000000"/>
        </w:rPr>
        <w:t>,</w:t>
      </w:r>
      <w:r>
        <w:rPr>
          <w:color w:val="000000"/>
        </w:rPr>
        <w:t xml:space="preserve"> and the claimants are being enjoined from prosecuting them</w:t>
      </w:r>
      <w:r w:rsidR="006A227C">
        <w:rPr>
          <w:color w:val="000000"/>
        </w:rPr>
        <w:t xml:space="preserve">.  </w:t>
      </w:r>
      <w:r>
        <w:rPr>
          <w:color w:val="000000"/>
        </w:rPr>
        <w:t>Debtors and their affiliated non-debtor parties cannot manufacture constitutional authority to resolve a non-core claim by the artifice of including a release of that claim in a plan of reorganization</w:t>
      </w:r>
      <w:r w:rsidR="006A227C">
        <w:rPr>
          <w:color w:val="000000"/>
        </w:rPr>
        <w:t xml:space="preserve">.  </w:t>
      </w:r>
      <w:r>
        <w:rPr>
          <w:color w:val="000000"/>
        </w:rPr>
        <w:t xml:space="preserve">As Bankruptcy Judge Bernstein made clear in </w:t>
      </w:r>
      <w:r>
        <w:rPr>
          <w:i/>
          <w:iCs/>
          <w:color w:val="000000"/>
        </w:rPr>
        <w:t>In re SunEdison</w:t>
      </w:r>
      <w:r w:rsidR="008B54D4">
        <w:rPr>
          <w:i/>
          <w:iCs/>
          <w:color w:val="000000"/>
        </w:rPr>
        <w:t>,</w:t>
      </w:r>
      <w:r>
        <w:rPr>
          <w:i/>
          <w:iCs/>
          <w:color w:val="000000"/>
        </w:rPr>
        <w:t xml:space="preserve"> Inc</w:t>
      </w:r>
      <w:r>
        <w:rPr>
          <w:color w:val="000000"/>
        </w:rPr>
        <w:t>.</w:t>
      </w:r>
      <w:r w:rsidR="008B54D4">
        <w:rPr>
          <w:color w:val="000000"/>
        </w:rPr>
        <w:t>,</w:t>
      </w:r>
      <w:hyperlink r:id="rId75" w:history="1">
        <w:r>
          <w:rPr>
            <w:color w:val="000000"/>
          </w:rPr>
          <w:t xml:space="preserve"> 576 </w:t>
        </w:r>
        <w:r w:rsidR="00755A0D">
          <w:rPr>
            <w:color w:val="000000"/>
          </w:rPr>
          <w:t xml:space="preserve">B.R. </w:t>
        </w:r>
        <w:r>
          <w:rPr>
            <w:color w:val="000000"/>
          </w:rPr>
          <w:t>453</w:t>
        </w:r>
        <w:r w:rsidR="008B54D4">
          <w:rPr>
            <w:color w:val="000000"/>
          </w:rPr>
          <w:t>,</w:t>
        </w:r>
        <w:r>
          <w:rPr>
            <w:color w:val="000000"/>
          </w:rPr>
          <w:t xml:space="preserve"> 461 </w:t>
        </w:r>
      </w:hyperlink>
      <w:r>
        <w:rPr>
          <w:color w:val="000000"/>
        </w:rPr>
        <w:t>(</w:t>
      </w:r>
      <w:r w:rsidR="00777BAE">
        <w:rPr>
          <w:color w:val="000000"/>
        </w:rPr>
        <w:t xml:space="preserve">Bankr. </w:t>
      </w:r>
      <w:r>
        <w:rPr>
          <w:color w:val="000000"/>
        </w:rPr>
        <w:t>S.D.N.Y</w:t>
      </w:r>
      <w:r w:rsidR="006A227C">
        <w:rPr>
          <w:color w:val="000000"/>
        </w:rPr>
        <w:t xml:space="preserve">. </w:t>
      </w:r>
      <w:r>
        <w:rPr>
          <w:color w:val="000000"/>
        </w:rPr>
        <w:t>2017)</w:t>
      </w:r>
      <w:r w:rsidR="008B54D4">
        <w:rPr>
          <w:color w:val="000000"/>
        </w:rPr>
        <w:t>,</w:t>
      </w:r>
      <w:r>
        <w:rPr>
          <w:color w:val="000000"/>
        </w:rPr>
        <w:t xml:space="preserve"> “In assessing a court</w:t>
      </w:r>
      <w:r w:rsidR="008B54D4">
        <w:rPr>
          <w:color w:val="000000"/>
        </w:rPr>
        <w:t>’</w:t>
      </w:r>
      <w:r>
        <w:rPr>
          <w:color w:val="000000"/>
        </w:rPr>
        <w:t>s jurisdiction to enjoin a third party dispute under a plan</w:t>
      </w:r>
      <w:r w:rsidR="008B54D4">
        <w:rPr>
          <w:color w:val="000000"/>
        </w:rPr>
        <w:t>,</w:t>
      </w:r>
      <w:r>
        <w:rPr>
          <w:color w:val="000000"/>
        </w:rPr>
        <w:t xml:space="preserve"> the question is not whether the court has jurisdiction over the settlement that incorporates the third party release</w:t>
      </w:r>
      <w:r w:rsidR="008B54D4">
        <w:rPr>
          <w:color w:val="000000"/>
        </w:rPr>
        <w:t>,</w:t>
      </w:r>
      <w:r>
        <w:rPr>
          <w:color w:val="000000"/>
        </w:rPr>
        <w:t xml:space="preserve"> but whether it has jurisdiction over the attempts to enjoin the creditors</w:t>
      </w:r>
      <w:r w:rsidR="008B54D4">
        <w:rPr>
          <w:color w:val="000000"/>
        </w:rPr>
        <w:t>’</w:t>
      </w:r>
      <w:r>
        <w:rPr>
          <w:color w:val="000000"/>
        </w:rPr>
        <w:t xml:space="preserve"> unasserted claims against the third party</w:t>
      </w:r>
      <w:r w:rsidR="00FA79C1">
        <w:rPr>
          <w:color w:val="000000"/>
        </w:rPr>
        <w:t xml:space="preserve">.”  </w:t>
      </w:r>
      <w:r>
        <w:rPr>
          <w:color w:val="000000"/>
        </w:rPr>
        <w:t>That proposition applies with equal force to a bankruptcy court</w:t>
      </w:r>
      <w:r w:rsidR="008B54D4">
        <w:rPr>
          <w:color w:val="000000"/>
        </w:rPr>
        <w:t>’</w:t>
      </w:r>
      <w:r>
        <w:rPr>
          <w:color w:val="000000"/>
        </w:rPr>
        <w:t xml:space="preserve">s </w:t>
      </w:r>
      <w:r>
        <w:rPr>
          <w:i/>
          <w:iCs/>
          <w:color w:val="000000"/>
        </w:rPr>
        <w:t>Stern</w:t>
      </w:r>
      <w:r>
        <w:rPr>
          <w:color w:val="000000"/>
        </w:rPr>
        <w:t xml:space="preserve"> authority.</w:t>
      </w:r>
    </w:p>
    <w:p w14:paraId="305FDEEE" w14:textId="3401167E" w:rsidR="00A77BBD" w:rsidRDefault="00A77BBD" w:rsidP="00A77BBD">
      <w:pPr>
        <w:pStyle w:val="BodyTextFirstIndent"/>
      </w:pPr>
      <w:r>
        <w:rPr>
          <w:color w:val="000000"/>
        </w:rPr>
        <w:t>Appellees</w:t>
      </w:r>
      <w:r w:rsidR="008B54D4">
        <w:rPr>
          <w:color w:val="000000"/>
        </w:rPr>
        <w:t>’</w:t>
      </w:r>
      <w:r>
        <w:rPr>
          <w:color w:val="000000"/>
        </w:rPr>
        <w:t xml:space="preserve"> argument that </w:t>
      </w:r>
      <w:r>
        <w:rPr>
          <w:i/>
          <w:iCs/>
          <w:color w:val="000000"/>
        </w:rPr>
        <w:t>Stern</w:t>
      </w:r>
      <w:r>
        <w:rPr>
          <w:color w:val="000000"/>
        </w:rPr>
        <w:t xml:space="preserve"> only limits a bankruptcy court</w:t>
      </w:r>
      <w:r w:rsidR="008B54D4">
        <w:rPr>
          <w:color w:val="000000"/>
        </w:rPr>
        <w:t>’</w:t>
      </w:r>
      <w:r>
        <w:rPr>
          <w:color w:val="000000"/>
        </w:rPr>
        <w:t xml:space="preserve">s authority to </w:t>
      </w:r>
      <w:r>
        <w:rPr>
          <w:i/>
          <w:iCs/>
          <w:color w:val="000000"/>
        </w:rPr>
        <w:t xml:space="preserve">adjudicate </w:t>
      </w:r>
      <w:r>
        <w:rPr>
          <w:color w:val="000000"/>
        </w:rPr>
        <w:t>claims - not its authority to enter judgments that terminate claims without adjudicating them on the merits - is also flawed</w:t>
      </w:r>
      <w:r w:rsidR="006A227C">
        <w:rPr>
          <w:color w:val="000000"/>
        </w:rPr>
        <w:t xml:space="preserve">.  </w:t>
      </w:r>
      <w:r>
        <w:rPr>
          <w:color w:val="000000"/>
        </w:rPr>
        <w:t xml:space="preserve">As the </w:t>
      </w:r>
      <w:r w:rsidR="002F10FB">
        <w:rPr>
          <w:color w:val="000000"/>
        </w:rPr>
        <w:t xml:space="preserve">U.S. </w:t>
      </w:r>
      <w:r>
        <w:rPr>
          <w:color w:val="000000"/>
        </w:rPr>
        <w:t>Trustee correctly points out</w:t>
      </w:r>
      <w:r w:rsidR="008B54D4">
        <w:rPr>
          <w:color w:val="000000"/>
        </w:rPr>
        <w:t>,</w:t>
      </w:r>
      <w:r>
        <w:rPr>
          <w:color w:val="000000"/>
        </w:rPr>
        <w:t xml:space="preserve"> </w:t>
      </w:r>
      <w:r>
        <w:rPr>
          <w:i/>
          <w:iCs/>
          <w:color w:val="000000"/>
        </w:rPr>
        <w:t>Stern</w:t>
      </w:r>
      <w:r w:rsidR="008B54D4">
        <w:rPr>
          <w:i/>
          <w:iCs/>
          <w:color w:val="000000"/>
        </w:rPr>
        <w:t>’</w:t>
      </w:r>
      <w:r>
        <w:rPr>
          <w:i/>
          <w:iCs/>
          <w:color w:val="000000"/>
        </w:rPr>
        <w:t>s</w:t>
      </w:r>
      <w:r>
        <w:rPr>
          <w:color w:val="000000"/>
        </w:rPr>
        <w:t xml:space="preserve"> holding is to the contrary:  “The Bankruptcy Court in this case exercised the judicial power of the United States by </w:t>
      </w:r>
      <w:r>
        <w:rPr>
          <w:i/>
          <w:iCs/>
          <w:color w:val="000000"/>
        </w:rPr>
        <w:t>entering a final judgment</w:t>
      </w:r>
      <w:r>
        <w:rPr>
          <w:color w:val="000000"/>
        </w:rPr>
        <w:t xml:space="preserve"> on a common law tort claim</w:t>
      </w:r>
      <w:r w:rsidR="008B54D4">
        <w:rPr>
          <w:color w:val="000000"/>
        </w:rPr>
        <w:t>,</w:t>
      </w:r>
      <w:r>
        <w:rPr>
          <w:color w:val="000000"/>
        </w:rPr>
        <w:t xml:space="preserve"> even though the judges of such courts enjoy neither tenure during good behavior nor salary protection</w:t>
      </w:r>
      <w:r w:rsidR="00FA79C1">
        <w:rPr>
          <w:color w:val="000000"/>
        </w:rPr>
        <w:t xml:space="preserve">.”  </w:t>
      </w:r>
      <w:r>
        <w:rPr>
          <w:i/>
          <w:iCs/>
          <w:color w:val="000000"/>
        </w:rPr>
        <w:t>Stern</w:t>
      </w:r>
      <w:r w:rsidR="008B54D4">
        <w:rPr>
          <w:color w:val="000000"/>
        </w:rPr>
        <w:t>,</w:t>
      </w:r>
      <w:hyperlink r:id="rId76" w:history="1">
        <w:r>
          <w:rPr>
            <w:color w:val="000000"/>
          </w:rPr>
          <w:t xml:space="preserve"> 564 </w:t>
        </w:r>
        <w:r w:rsidR="002F10FB">
          <w:rPr>
            <w:color w:val="000000"/>
          </w:rPr>
          <w:t xml:space="preserve">U.S. </w:t>
        </w:r>
        <w:r>
          <w:rPr>
            <w:color w:val="000000"/>
          </w:rPr>
          <w:t>at 469</w:t>
        </w:r>
      </w:hyperlink>
      <w:r>
        <w:rPr>
          <w:color w:val="000000"/>
        </w:rPr>
        <w:t xml:space="preserve"> (emphasis added)</w:t>
      </w:r>
      <w:r w:rsidR="006A227C">
        <w:rPr>
          <w:color w:val="000000"/>
        </w:rPr>
        <w:t xml:space="preserve">.  </w:t>
      </w:r>
      <w:r>
        <w:rPr>
          <w:color w:val="000000"/>
        </w:rPr>
        <w:t>A bankruptcy court</w:t>
      </w:r>
      <w:r w:rsidR="008B54D4">
        <w:rPr>
          <w:color w:val="000000"/>
        </w:rPr>
        <w:t>’</w:t>
      </w:r>
      <w:r>
        <w:rPr>
          <w:color w:val="000000"/>
        </w:rPr>
        <w:t>s order extinguishing a non-core claim and enjoining its prosecution without an adjudication on the merits “finally determines” that claim</w:t>
      </w:r>
      <w:r w:rsidR="006A227C">
        <w:rPr>
          <w:color w:val="000000"/>
        </w:rPr>
        <w:t xml:space="preserve">.  </w:t>
      </w:r>
      <w:r>
        <w:rPr>
          <w:color w:val="000000"/>
        </w:rPr>
        <w:t>It is equivalent to entering a judgment dismissing the claim</w:t>
      </w:r>
      <w:r w:rsidR="006A227C">
        <w:rPr>
          <w:color w:val="000000"/>
        </w:rPr>
        <w:t xml:space="preserve">.  </w:t>
      </w:r>
      <w:r>
        <w:rPr>
          <w:color w:val="000000"/>
        </w:rPr>
        <w:t>It bars the claim under principles of former adjudication</w:t>
      </w:r>
      <w:r w:rsidR="006A227C">
        <w:rPr>
          <w:color w:val="000000"/>
        </w:rPr>
        <w:t xml:space="preserve">.  </w:t>
      </w:r>
      <w:r>
        <w:rPr>
          <w:color w:val="000000"/>
        </w:rPr>
        <w:t>Therefore</w:t>
      </w:r>
      <w:r w:rsidR="008B54D4">
        <w:rPr>
          <w:color w:val="000000"/>
        </w:rPr>
        <w:t>,</w:t>
      </w:r>
      <w:r>
        <w:rPr>
          <w:color w:val="000000"/>
        </w:rPr>
        <w:t xml:space="preserve"> Congress may not allow a bankruptcy court to enter such an order absent the parties</w:t>
      </w:r>
      <w:r w:rsidR="008B54D4">
        <w:rPr>
          <w:color w:val="000000"/>
        </w:rPr>
        <w:t>’</w:t>
      </w:r>
      <w:r>
        <w:rPr>
          <w:color w:val="000000"/>
        </w:rPr>
        <w:t xml:space="preserve"> consent - and consent is lacking here</w:t>
      </w:r>
      <w:r w:rsidR="006A227C">
        <w:rPr>
          <w:color w:val="000000"/>
        </w:rPr>
        <w:t xml:space="preserve">.  </w:t>
      </w:r>
      <w:r>
        <w:rPr>
          <w:i/>
          <w:iCs/>
          <w:color w:val="000000"/>
        </w:rPr>
        <w:t>See Stern</w:t>
      </w:r>
      <w:r>
        <w:rPr>
          <w:color w:val="000000"/>
        </w:rPr>
        <w:t xml:space="preserve"> at 484.</w:t>
      </w:r>
    </w:p>
    <w:p w14:paraId="1122D8AD" w14:textId="204B85ED" w:rsidR="00A77BBD" w:rsidRDefault="00A77BBD" w:rsidP="00A77BBD">
      <w:pPr>
        <w:pStyle w:val="BodyTextFirstIndent"/>
      </w:pPr>
      <w:r>
        <w:rPr>
          <w:color w:val="000000"/>
        </w:rPr>
        <w:t>There really can be no dispute that the release of a claim “finally determines” that claim</w:t>
      </w:r>
      <w:r w:rsidR="006A227C">
        <w:rPr>
          <w:color w:val="000000"/>
        </w:rPr>
        <w:t xml:space="preserve">.  </w:t>
      </w:r>
      <w:r>
        <w:rPr>
          <w:color w:val="000000"/>
        </w:rPr>
        <w:t>It does so by extinguishing the claim</w:t>
      </w:r>
      <w:r w:rsidR="008B54D4">
        <w:rPr>
          <w:color w:val="000000"/>
        </w:rPr>
        <w:t>,</w:t>
      </w:r>
      <w:r>
        <w:rPr>
          <w:color w:val="000000"/>
        </w:rPr>
        <w:t xml:space="preserve"> so that it cannot be adjudicated on the merits</w:t>
      </w:r>
      <w:r w:rsidR="006A227C">
        <w:rPr>
          <w:color w:val="000000"/>
        </w:rPr>
        <w:t xml:space="preserve">.  </w:t>
      </w:r>
      <w:r>
        <w:rPr>
          <w:color w:val="000000"/>
        </w:rPr>
        <w:t>A nonconsensual third-party release is essentially a final judgment against the claimant</w:t>
      </w:r>
      <w:r w:rsidR="008B54D4">
        <w:rPr>
          <w:color w:val="000000"/>
        </w:rPr>
        <w:t>,</w:t>
      </w:r>
      <w:r>
        <w:rPr>
          <w:color w:val="000000"/>
        </w:rPr>
        <w:t xml:space="preserve"> in favor of the non-debtor</w:t>
      </w:r>
      <w:r w:rsidR="008B54D4">
        <w:rPr>
          <w:color w:val="000000"/>
        </w:rPr>
        <w:t>,</w:t>
      </w:r>
      <w:r>
        <w:rPr>
          <w:color w:val="000000"/>
        </w:rPr>
        <w:t xml:space="preserve"> entered “without any hearing on the merits</w:t>
      </w:r>
      <w:r w:rsidR="00FA79C1">
        <w:rPr>
          <w:color w:val="000000"/>
        </w:rPr>
        <w:t xml:space="preserve">.”  </w:t>
      </w:r>
      <w:r>
        <w:rPr>
          <w:i/>
          <w:iCs/>
          <w:color w:val="000000"/>
        </w:rPr>
        <w:t>In re Aegean Marine Petroleum Network Inc</w:t>
      </w:r>
      <w:r>
        <w:rPr>
          <w:color w:val="000000"/>
        </w:rPr>
        <w:t>.</w:t>
      </w:r>
      <w:r w:rsidR="008B54D4">
        <w:rPr>
          <w:color w:val="000000"/>
        </w:rPr>
        <w:t>,</w:t>
      </w:r>
      <w:r>
        <w:rPr>
          <w:color w:val="000000"/>
        </w:rPr>
        <w:t xml:space="preserve"> </w:t>
      </w:r>
      <w:hyperlink r:id="rId77" w:history="1">
        <w:r>
          <w:rPr>
            <w:color w:val="000000"/>
          </w:rPr>
          <w:t>599</w:t>
        </w:r>
      </w:hyperlink>
      <w:r>
        <w:rPr>
          <w:color w:val="000000"/>
        </w:rPr>
        <w:t xml:space="preserve"> </w:t>
      </w:r>
      <w:hyperlink r:id="rId78" w:history="1">
        <w:r w:rsidR="00755A0D">
          <w:rPr>
            <w:color w:val="000000"/>
          </w:rPr>
          <w:t xml:space="preserve">B.R. </w:t>
        </w:r>
        <w:r>
          <w:rPr>
            <w:color w:val="000000"/>
          </w:rPr>
          <w:t>717</w:t>
        </w:r>
        <w:r w:rsidR="008B54D4">
          <w:rPr>
            <w:color w:val="000000"/>
          </w:rPr>
          <w:t>,</w:t>
        </w:r>
        <w:r>
          <w:rPr>
            <w:color w:val="000000"/>
          </w:rPr>
          <w:t xml:space="preserve"> 725</w:t>
        </w:r>
      </w:hyperlink>
      <w:r>
        <w:rPr>
          <w:color w:val="000000"/>
        </w:rPr>
        <w:t xml:space="preserve"> (</w:t>
      </w:r>
      <w:r w:rsidR="00777BAE">
        <w:rPr>
          <w:color w:val="000000"/>
        </w:rPr>
        <w:t xml:space="preserve">Bankr. </w:t>
      </w:r>
      <w:r>
        <w:rPr>
          <w:color w:val="000000"/>
        </w:rPr>
        <w:t>S.D.N.Y</w:t>
      </w:r>
      <w:r w:rsidR="006A227C">
        <w:rPr>
          <w:color w:val="000000"/>
        </w:rPr>
        <w:t xml:space="preserve">.  </w:t>
      </w:r>
      <w:r>
        <w:rPr>
          <w:color w:val="000000"/>
        </w:rPr>
        <w:t xml:space="preserve">2019) (citing </w:t>
      </w:r>
      <w:r>
        <w:rPr>
          <w:i/>
          <w:iCs/>
          <w:color w:val="000000"/>
        </w:rPr>
        <w:t>In re Digital Impact</w:t>
      </w:r>
      <w:r w:rsidR="008B54D4">
        <w:rPr>
          <w:color w:val="000000"/>
        </w:rPr>
        <w:t>,</w:t>
      </w:r>
      <w:r>
        <w:rPr>
          <w:color w:val="000000"/>
        </w:rPr>
        <w:t xml:space="preserve"> </w:t>
      </w:r>
      <w:hyperlink r:id="rId79" w:history="1">
        <w:r>
          <w:rPr>
            <w:color w:val="000000"/>
          </w:rPr>
          <w:t xml:space="preserve">223 </w:t>
        </w:r>
        <w:r w:rsidR="00755A0D">
          <w:rPr>
            <w:color w:val="000000"/>
          </w:rPr>
          <w:t xml:space="preserve">B.R. </w:t>
        </w:r>
        <w:r>
          <w:rPr>
            <w:color w:val="000000"/>
          </w:rPr>
          <w:t>1</w:t>
        </w:r>
        <w:r w:rsidR="008B54D4">
          <w:rPr>
            <w:color w:val="000000"/>
          </w:rPr>
          <w:t>,</w:t>
        </w:r>
        <w:r>
          <w:rPr>
            <w:color w:val="000000"/>
          </w:rPr>
          <w:t xml:space="preserve"> 13 </w:t>
        </w:r>
      </w:hyperlink>
      <w:r>
        <w:rPr>
          <w:color w:val="000000"/>
        </w:rPr>
        <w:t>n</w:t>
      </w:r>
      <w:r w:rsidR="006A227C">
        <w:rPr>
          <w:color w:val="000000"/>
        </w:rPr>
        <w:t xml:space="preserve">. </w:t>
      </w:r>
      <w:r>
        <w:rPr>
          <w:color w:val="000000"/>
        </w:rPr>
        <w:t>6 (Bankr.</w:t>
      </w:r>
      <w:r w:rsidR="00B57F95">
        <w:rPr>
          <w:color w:val="000000"/>
        </w:rPr>
        <w:t xml:space="preserve"> </w:t>
      </w:r>
      <w:r>
        <w:rPr>
          <w:color w:val="000000"/>
        </w:rPr>
        <w:t>N.D</w:t>
      </w:r>
      <w:r w:rsidR="006A227C">
        <w:rPr>
          <w:color w:val="000000"/>
        </w:rPr>
        <w:t xml:space="preserve">. </w:t>
      </w:r>
      <w:r>
        <w:rPr>
          <w:color w:val="000000"/>
        </w:rPr>
        <w:t>Okla</w:t>
      </w:r>
      <w:r w:rsidR="006A227C">
        <w:rPr>
          <w:color w:val="000000"/>
        </w:rPr>
        <w:t xml:space="preserve">. </w:t>
      </w:r>
      <w:r>
        <w:rPr>
          <w:color w:val="000000"/>
        </w:rPr>
        <w:t>1998)) (noting that a third-party release has “the effect of a judgment - a judgment against the claimant and in favor of the non-debtor</w:t>
      </w:r>
      <w:r w:rsidR="008B54D4">
        <w:rPr>
          <w:color w:val="000000"/>
        </w:rPr>
        <w:t>,</w:t>
      </w:r>
      <w:r>
        <w:rPr>
          <w:color w:val="000000"/>
        </w:rPr>
        <w:t xml:space="preserve"> accomplished without due process.”)</w:t>
      </w:r>
      <w:r w:rsidR="006A227C">
        <w:rPr>
          <w:color w:val="000000"/>
        </w:rPr>
        <w:t xml:space="preserve">.  </w:t>
      </w:r>
      <w:r>
        <w:rPr>
          <w:color w:val="000000"/>
        </w:rPr>
        <w:t>The fact that the releases are being ordered in the overall context of a plan confirmation that “settles” many disputed matters (against the Debtors</w:t>
      </w:r>
      <w:r w:rsidR="008B54D4">
        <w:rPr>
          <w:color w:val="000000"/>
        </w:rPr>
        <w:t>,</w:t>
      </w:r>
      <w:r>
        <w:rPr>
          <w:color w:val="000000"/>
        </w:rPr>
        <w:t xml:space="preserve"> not against non-debtors) does not alter this</w:t>
      </w:r>
      <w:r w:rsidR="006A227C">
        <w:rPr>
          <w:color w:val="000000"/>
        </w:rPr>
        <w:t xml:space="preserve">.  </w:t>
      </w:r>
      <w:r>
        <w:rPr>
          <w:color w:val="000000"/>
        </w:rPr>
        <w:t>The Appell</w:t>
      </w:r>
      <w:r w:rsidR="008C2EFB">
        <w:rPr>
          <w:color w:val="000000"/>
        </w:rPr>
        <w:t>ant</w:t>
      </w:r>
      <w:r w:rsidR="0073548B">
        <w:rPr>
          <w:color w:val="000000"/>
        </w:rPr>
        <w:t>s</w:t>
      </w:r>
      <w:r>
        <w:rPr>
          <w:color w:val="000000"/>
        </w:rPr>
        <w:t xml:space="preserve"> in this case do not want to settle their claims against the non-debtors - at least</w:t>
      </w:r>
      <w:r w:rsidR="008B54D4">
        <w:rPr>
          <w:color w:val="000000"/>
        </w:rPr>
        <w:t>,</w:t>
      </w:r>
      <w:r>
        <w:rPr>
          <w:color w:val="000000"/>
        </w:rPr>
        <w:t xml:space="preserve"> not on the terms set forth in the Plan</w:t>
      </w:r>
      <w:r w:rsidR="006A227C">
        <w:rPr>
          <w:color w:val="000000"/>
        </w:rPr>
        <w:t xml:space="preserve">.  </w:t>
      </w:r>
      <w:r>
        <w:rPr>
          <w:color w:val="000000"/>
        </w:rPr>
        <w:t>This “settlement” is non-consensual - which means that</w:t>
      </w:r>
      <w:r w:rsidR="008B54D4">
        <w:rPr>
          <w:color w:val="000000"/>
        </w:rPr>
        <w:t>,</w:t>
      </w:r>
      <w:r>
        <w:rPr>
          <w:color w:val="000000"/>
        </w:rPr>
        <w:t xml:space="preserve"> under </w:t>
      </w:r>
      <w:r>
        <w:rPr>
          <w:i/>
          <w:iCs/>
          <w:color w:val="000000"/>
        </w:rPr>
        <w:t>Stern</w:t>
      </w:r>
      <w:r w:rsidR="008B54D4">
        <w:rPr>
          <w:color w:val="000000"/>
        </w:rPr>
        <w:t>,</w:t>
      </w:r>
      <w:r>
        <w:rPr>
          <w:color w:val="000000"/>
        </w:rPr>
        <w:t xml:space="preserve"> a bankruptcy court cannot enter the order that finally disposes of their claims against those non</w:t>
      </w:r>
      <w:r w:rsidR="006A780E">
        <w:rPr>
          <w:color w:val="000000"/>
        </w:rPr>
        <w:t>-</w:t>
      </w:r>
      <w:r>
        <w:rPr>
          <w:color w:val="000000"/>
        </w:rPr>
        <w:t>debtors.</w:t>
      </w:r>
    </w:p>
    <w:p w14:paraId="00DF2930" w14:textId="1DF92A74" w:rsidR="00A77BBD" w:rsidRDefault="00A77BBD" w:rsidP="00A77BBD">
      <w:pPr>
        <w:pStyle w:val="BodyTextFirstIndent"/>
      </w:pPr>
      <w:r>
        <w:rPr>
          <w:color w:val="000000"/>
        </w:rPr>
        <w:t>Nor is there any doubt that the entry of an order releasing a claim has form</w:t>
      </w:r>
      <w:r w:rsidR="0073548B">
        <w:rPr>
          <w:color w:val="000000"/>
        </w:rPr>
        <w:t xml:space="preserve">al </w:t>
      </w:r>
      <w:r>
        <w:rPr>
          <w:color w:val="000000"/>
        </w:rPr>
        <w:t>adjudication effects</w:t>
      </w:r>
      <w:r w:rsidR="008B54D4">
        <w:rPr>
          <w:color w:val="000000"/>
        </w:rPr>
        <w:t>,</w:t>
      </w:r>
      <w:r>
        <w:rPr>
          <w:color w:val="000000"/>
        </w:rPr>
        <w:t xml:space="preserve"> which is a key attribute of a final judgment</w:t>
      </w:r>
      <w:r w:rsidR="006A227C">
        <w:rPr>
          <w:color w:val="000000"/>
        </w:rPr>
        <w:t xml:space="preserve">.  </w:t>
      </w:r>
      <w:r>
        <w:rPr>
          <w:color w:val="000000"/>
        </w:rPr>
        <w:t>The Supreme Court has twice held that non</w:t>
      </w:r>
      <w:r w:rsidR="006A780E">
        <w:rPr>
          <w:color w:val="000000"/>
        </w:rPr>
        <w:t>-</w:t>
      </w:r>
      <w:r>
        <w:rPr>
          <w:color w:val="000000"/>
        </w:rPr>
        <w:t xml:space="preserve">consensual third-party releases confirmed by final order are entitled to </w:t>
      </w:r>
      <w:r>
        <w:rPr>
          <w:i/>
          <w:iCs/>
          <w:color w:val="000000"/>
        </w:rPr>
        <w:t>res judicata</w:t>
      </w:r>
      <w:r>
        <w:rPr>
          <w:color w:val="000000"/>
        </w:rPr>
        <w:t xml:space="preserve"> claim preclusion barring any subsequent action bringing a released claim:  First in </w:t>
      </w:r>
      <w:r>
        <w:rPr>
          <w:i/>
          <w:iCs/>
          <w:color w:val="000000"/>
        </w:rPr>
        <w:t>Stoll</w:t>
      </w:r>
      <w:r w:rsidR="00E150C1">
        <w:rPr>
          <w:i/>
          <w:iCs/>
          <w:color w:val="000000"/>
        </w:rPr>
        <w:t xml:space="preserve"> v. </w:t>
      </w:r>
      <w:r>
        <w:rPr>
          <w:i/>
          <w:iCs/>
          <w:color w:val="000000"/>
        </w:rPr>
        <w:t>Gottlieb</w:t>
      </w:r>
      <w:r w:rsidR="008B54D4">
        <w:rPr>
          <w:color w:val="000000"/>
        </w:rPr>
        <w:t>,</w:t>
      </w:r>
      <w:hyperlink r:id="rId80" w:history="1">
        <w:r>
          <w:rPr>
            <w:color w:val="000000"/>
          </w:rPr>
          <w:t xml:space="preserve"> 305</w:t>
        </w:r>
      </w:hyperlink>
      <w:r>
        <w:rPr>
          <w:color w:val="000000"/>
        </w:rPr>
        <w:t xml:space="preserve"> </w:t>
      </w:r>
      <w:hyperlink r:id="rId81" w:history="1">
        <w:r w:rsidR="002F10FB">
          <w:rPr>
            <w:color w:val="000000"/>
          </w:rPr>
          <w:t xml:space="preserve">U.S. </w:t>
        </w:r>
        <w:r>
          <w:rPr>
            <w:color w:val="000000"/>
          </w:rPr>
          <w:t>165</w:t>
        </w:r>
        <w:r w:rsidR="008B54D4">
          <w:rPr>
            <w:color w:val="000000"/>
          </w:rPr>
          <w:t>,</w:t>
        </w:r>
        <w:r>
          <w:rPr>
            <w:color w:val="000000"/>
          </w:rPr>
          <w:t xml:space="preserve"> 171 </w:t>
        </w:r>
      </w:hyperlink>
      <w:r>
        <w:rPr>
          <w:color w:val="000000"/>
        </w:rPr>
        <w:t>(1938)</w:t>
      </w:r>
      <w:r w:rsidR="008B54D4">
        <w:rPr>
          <w:color w:val="000000"/>
        </w:rPr>
        <w:t>,</w:t>
      </w:r>
      <w:r>
        <w:rPr>
          <w:color w:val="000000"/>
        </w:rPr>
        <w:t xml:space="preserve"> and again in </w:t>
      </w:r>
      <w:r>
        <w:rPr>
          <w:i/>
          <w:iCs/>
          <w:color w:val="000000"/>
        </w:rPr>
        <w:t>Travelers Indemnity Co</w:t>
      </w:r>
      <w:r w:rsidR="006A227C">
        <w:rPr>
          <w:i/>
          <w:iCs/>
          <w:color w:val="000000"/>
        </w:rPr>
        <w:t>.</w:t>
      </w:r>
      <w:r w:rsidR="00E150C1">
        <w:rPr>
          <w:i/>
          <w:iCs/>
          <w:color w:val="000000"/>
        </w:rPr>
        <w:t xml:space="preserve"> v. </w:t>
      </w:r>
      <w:r>
        <w:rPr>
          <w:i/>
          <w:iCs/>
          <w:color w:val="000000"/>
        </w:rPr>
        <w:t>Bailey</w:t>
      </w:r>
      <w:r w:rsidR="008B54D4">
        <w:rPr>
          <w:color w:val="000000"/>
        </w:rPr>
        <w:t>,</w:t>
      </w:r>
      <w:r>
        <w:rPr>
          <w:color w:val="000000"/>
        </w:rPr>
        <w:t xml:space="preserve"> </w:t>
      </w:r>
      <w:hyperlink r:id="rId82" w:history="1">
        <w:r>
          <w:rPr>
            <w:color w:val="000000"/>
          </w:rPr>
          <w:t xml:space="preserve">557 </w:t>
        </w:r>
        <w:r w:rsidR="002F10FB">
          <w:rPr>
            <w:color w:val="000000"/>
          </w:rPr>
          <w:t xml:space="preserve">U.S. </w:t>
        </w:r>
        <w:r>
          <w:rPr>
            <w:color w:val="000000"/>
          </w:rPr>
          <w:t>137</w:t>
        </w:r>
        <w:r w:rsidR="008B54D4">
          <w:rPr>
            <w:color w:val="000000"/>
          </w:rPr>
          <w:t>,</w:t>
        </w:r>
        <w:r>
          <w:rPr>
            <w:color w:val="000000"/>
          </w:rPr>
          <w:t xml:space="preserve"> 155</w:t>
        </w:r>
      </w:hyperlink>
      <w:r>
        <w:rPr>
          <w:color w:val="000000"/>
        </w:rPr>
        <w:t xml:space="preserve"> (2009).</w:t>
      </w:r>
      <w:r>
        <w:rPr>
          <w:rStyle w:val="FootnoteReference"/>
          <w:rFonts w:eastAsia="Times New Roman" w:cs="Times New Roman"/>
          <w:color w:val="000000"/>
          <w:vertAlign w:val="superscript"/>
        </w:rPr>
        <w:footnoteReference w:id="29"/>
      </w:r>
    </w:p>
    <w:p w14:paraId="0C3BBCBB" w14:textId="0195FD1D" w:rsidR="00A77BBD" w:rsidRDefault="00A77BBD" w:rsidP="00A77BBD">
      <w:pPr>
        <w:pStyle w:val="BodyTextFirstIndent"/>
      </w:pPr>
      <w:r>
        <w:rPr>
          <w:color w:val="000000"/>
        </w:rPr>
        <w:t xml:space="preserve">Because the non-consensual releases and injunction are the equivalent of a final judgment for </w:t>
      </w:r>
      <w:r>
        <w:rPr>
          <w:i/>
          <w:iCs/>
          <w:color w:val="000000"/>
        </w:rPr>
        <w:t>Stern</w:t>
      </w:r>
      <w:r>
        <w:rPr>
          <w:color w:val="000000"/>
        </w:rPr>
        <w:t xml:space="preserve"> purposes</w:t>
      </w:r>
      <w:r w:rsidR="008B54D4">
        <w:rPr>
          <w:color w:val="000000"/>
        </w:rPr>
        <w:t>,</w:t>
      </w:r>
      <w:r>
        <w:rPr>
          <w:color w:val="000000"/>
        </w:rPr>
        <w:t xml:space="preserve"> Judge </w:t>
      </w:r>
      <w:r w:rsidR="00E82FD6">
        <w:rPr>
          <w:color w:val="000000"/>
        </w:rPr>
        <w:t>Wains</w:t>
      </w:r>
      <w:r>
        <w:rPr>
          <w:color w:val="000000"/>
        </w:rPr>
        <w:t xml:space="preserve"> did not have the power to enter an order finally approving them.</w:t>
      </w:r>
    </w:p>
    <w:p w14:paraId="6AC3FE71" w14:textId="0800A0C6" w:rsidR="00A77BBD" w:rsidRDefault="00A77BBD" w:rsidP="00A77BBD">
      <w:pPr>
        <w:pStyle w:val="BodyTextFirstIndent"/>
      </w:pPr>
      <w:r>
        <w:rPr>
          <w:color w:val="000000"/>
        </w:rPr>
        <w:t>To the extent of his approval of the Section 10.7 Shareholder Releases</w:t>
      </w:r>
      <w:r w:rsidR="008B54D4">
        <w:rPr>
          <w:color w:val="000000"/>
        </w:rPr>
        <w:t>,</w:t>
      </w:r>
      <w:r>
        <w:rPr>
          <w:color w:val="000000"/>
        </w:rPr>
        <w:t xml:space="preserve"> </w:t>
      </w:r>
      <w:r w:rsidR="008C2EFB">
        <w:rPr>
          <w:color w:val="000000"/>
        </w:rPr>
        <w:t>the Bankruptcy Court’s</w:t>
      </w:r>
      <w:r>
        <w:rPr>
          <w:color w:val="000000"/>
        </w:rPr>
        <w:t xml:space="preserve"> opinion should have been tendered as proposed findings of fact and conclusions of law</w:t>
      </w:r>
      <w:r w:rsidR="008B54D4">
        <w:rPr>
          <w:color w:val="000000"/>
        </w:rPr>
        <w:t>,</w:t>
      </w:r>
      <w:r>
        <w:rPr>
          <w:color w:val="000000"/>
        </w:rPr>
        <w:t xml:space="preserve"> both of which this court could review </w:t>
      </w:r>
      <w:r>
        <w:rPr>
          <w:i/>
          <w:iCs/>
          <w:color w:val="000000"/>
        </w:rPr>
        <w:t>de novo</w:t>
      </w:r>
      <w:r>
        <w:rPr>
          <w:color w:val="000000"/>
        </w:rPr>
        <w:t>.</w:t>
      </w:r>
      <w:hyperlink r:id="rId83" w:history="1">
        <w:r>
          <w:rPr>
            <w:color w:val="000000"/>
          </w:rPr>
          <w:t xml:space="preserve"> 11 </w:t>
        </w:r>
        <w:r w:rsidR="00522B24">
          <w:rPr>
            <w:color w:val="000000"/>
          </w:rPr>
          <w:t xml:space="preserve">U.S.C. </w:t>
        </w:r>
        <w:r>
          <w:rPr>
            <w:color w:val="000000"/>
          </w:rPr>
          <w:t>§ 157(c)(1)</w:t>
        </w:r>
      </w:hyperlink>
      <w:r w:rsidR="006A227C">
        <w:rPr>
          <w:color w:val="000000"/>
        </w:rPr>
        <w:t xml:space="preserve">.  </w:t>
      </w:r>
      <w:r>
        <w:rPr>
          <w:i/>
          <w:iCs/>
          <w:color w:val="000000"/>
        </w:rPr>
        <w:t>Stern</w:t>
      </w:r>
      <w:r w:rsidR="008B54D4">
        <w:rPr>
          <w:color w:val="000000"/>
        </w:rPr>
        <w:t>,</w:t>
      </w:r>
      <w:hyperlink r:id="rId84" w:history="1">
        <w:r>
          <w:rPr>
            <w:color w:val="000000"/>
          </w:rPr>
          <w:t xml:space="preserve"> 564 </w:t>
        </w:r>
        <w:r w:rsidR="002F10FB">
          <w:rPr>
            <w:color w:val="000000"/>
          </w:rPr>
          <w:t xml:space="preserve">U.S. </w:t>
        </w:r>
        <w:r>
          <w:rPr>
            <w:color w:val="000000"/>
          </w:rPr>
          <w:t>at 475</w:t>
        </w:r>
      </w:hyperlink>
      <w:r w:rsidR="006A227C">
        <w:rPr>
          <w:color w:val="000000"/>
        </w:rPr>
        <w:t xml:space="preserve">.  </w:t>
      </w:r>
      <w:r>
        <w:rPr>
          <w:color w:val="000000"/>
        </w:rPr>
        <w:t xml:space="preserve">If approved by </w:t>
      </w:r>
      <w:r w:rsidR="0073548B">
        <w:rPr>
          <w:color w:val="000000"/>
        </w:rPr>
        <w:t>the District Court,</w:t>
      </w:r>
      <w:r>
        <w:rPr>
          <w:color w:val="000000"/>
        </w:rPr>
        <w:t xml:space="preserve"> those releases would </w:t>
      </w:r>
      <w:r w:rsidR="0073548B">
        <w:rPr>
          <w:color w:val="000000"/>
        </w:rPr>
        <w:t>have been</w:t>
      </w:r>
      <w:r>
        <w:rPr>
          <w:color w:val="000000"/>
        </w:rPr>
        <w:t xml:space="preserve"> incorporated into the Plan</w:t>
      </w:r>
      <w:r w:rsidR="008C2EFB">
        <w:rPr>
          <w:color w:val="000000"/>
        </w:rPr>
        <w:t xml:space="preserve">; of course, </w:t>
      </w:r>
      <w:r w:rsidR="0073548B">
        <w:rPr>
          <w:color w:val="000000"/>
        </w:rPr>
        <w:t>the District Court appropriately reversed</w:t>
      </w:r>
      <w:r>
        <w:rPr>
          <w:color w:val="000000"/>
        </w:rPr>
        <w:t>.</w:t>
      </w:r>
    </w:p>
    <w:p w14:paraId="6A3715AB" w14:textId="77777777" w:rsidR="00A77BBD" w:rsidRDefault="00A77BBD" w:rsidP="00D850FE">
      <w:pPr>
        <w:pStyle w:val="Heading1"/>
      </w:pPr>
      <w:r>
        <w:t>DISCUSSION</w:t>
      </w:r>
    </w:p>
    <w:p w14:paraId="5E4729F2" w14:textId="0FB2235D" w:rsidR="00A77BBD" w:rsidRDefault="00A77BBD" w:rsidP="00D850FE">
      <w:pPr>
        <w:pStyle w:val="Heading2"/>
      </w:pPr>
      <w:r>
        <w:t>The Bankruptcy Court Has Subject Matter Jurisdiction Over Third-Party Claims Against Non-Debtors That Might Have Any Conceivable Effect on the Debtors</w:t>
      </w:r>
      <w:r w:rsidR="008B54D4">
        <w:t>’</w:t>
      </w:r>
      <w:r>
        <w:t xml:space="preserve"> Estate.</w:t>
      </w:r>
    </w:p>
    <w:p w14:paraId="6D1D1027" w14:textId="4A923E60" w:rsidR="00A77BBD" w:rsidRDefault="00A77BBD" w:rsidP="00A77BBD">
      <w:pPr>
        <w:pStyle w:val="BodyTextFirstIndent"/>
      </w:pPr>
      <w:r>
        <w:rPr>
          <w:color w:val="000000"/>
        </w:rPr>
        <w:t>A bankruptcy court is a creature of statute</w:t>
      </w:r>
      <w:r w:rsidR="006A227C">
        <w:rPr>
          <w:color w:val="000000"/>
        </w:rPr>
        <w:t xml:space="preserve">.  </w:t>
      </w:r>
      <w:r>
        <w:rPr>
          <w:i/>
          <w:iCs/>
          <w:color w:val="000000"/>
        </w:rPr>
        <w:t>See Celotex Corp</w:t>
      </w:r>
      <w:r w:rsidR="006A227C">
        <w:rPr>
          <w:i/>
          <w:iCs/>
          <w:color w:val="000000"/>
        </w:rPr>
        <w:t xml:space="preserve">. </w:t>
      </w:r>
      <w:r w:rsidR="00E150C1">
        <w:rPr>
          <w:i/>
          <w:iCs/>
          <w:color w:val="000000"/>
        </w:rPr>
        <w:t xml:space="preserve">v. </w:t>
      </w:r>
      <w:r>
        <w:rPr>
          <w:i/>
          <w:iCs/>
          <w:color w:val="000000"/>
        </w:rPr>
        <w:t>Edwards</w:t>
      </w:r>
      <w:r w:rsidR="008B54D4">
        <w:rPr>
          <w:color w:val="000000"/>
        </w:rPr>
        <w:t>,</w:t>
      </w:r>
      <w:hyperlink r:id="rId85" w:history="1">
        <w:r>
          <w:rPr>
            <w:color w:val="000000"/>
          </w:rPr>
          <w:t xml:space="preserve"> 514 </w:t>
        </w:r>
        <w:r w:rsidR="002F10FB">
          <w:rPr>
            <w:color w:val="000000"/>
          </w:rPr>
          <w:t xml:space="preserve">U.S. </w:t>
        </w:r>
        <w:r>
          <w:rPr>
            <w:color w:val="000000"/>
          </w:rPr>
          <w:t>300</w:t>
        </w:r>
      </w:hyperlink>
      <w:r w:rsidR="008B54D4">
        <w:rPr>
          <w:color w:val="000000"/>
        </w:rPr>
        <w:t>,</w:t>
      </w:r>
      <w:r w:rsidR="00D850FE">
        <w:rPr>
          <w:color w:val="000000"/>
        </w:rPr>
        <w:t xml:space="preserve"> </w:t>
      </w:r>
      <w:r>
        <w:rPr>
          <w:color w:val="000000"/>
        </w:rPr>
        <w:t>307 (1995)</w:t>
      </w:r>
      <w:r w:rsidR="006A227C">
        <w:rPr>
          <w:color w:val="000000"/>
        </w:rPr>
        <w:t xml:space="preserve">.  </w:t>
      </w:r>
      <w:r>
        <w:rPr>
          <w:color w:val="000000"/>
        </w:rPr>
        <w:t xml:space="preserve">Its subject matter jurisdiction is </w:t>
      </w:r>
      <w:r>
        <w:rPr>
          <w:i/>
          <w:iCs/>
          <w:color w:val="000000"/>
        </w:rPr>
        <w:t>in rem</w:t>
      </w:r>
      <w:r>
        <w:rPr>
          <w:color w:val="000000"/>
        </w:rPr>
        <w:t xml:space="preserve"> and is limited to the </w:t>
      </w:r>
      <w:r>
        <w:rPr>
          <w:i/>
          <w:iCs/>
          <w:color w:val="000000"/>
        </w:rPr>
        <w:t>res</w:t>
      </w:r>
      <w:r>
        <w:rPr>
          <w:color w:val="000000"/>
        </w:rPr>
        <w:t xml:space="preserve"> of the estate</w:t>
      </w:r>
      <w:r w:rsidR="006A227C">
        <w:rPr>
          <w:color w:val="000000"/>
        </w:rPr>
        <w:t xml:space="preserve">.  </w:t>
      </w:r>
      <w:r>
        <w:rPr>
          <w:i/>
          <w:iCs/>
          <w:color w:val="000000"/>
        </w:rPr>
        <w:t>Central Virginia Community College</w:t>
      </w:r>
      <w:r w:rsidR="00E150C1">
        <w:rPr>
          <w:i/>
          <w:iCs/>
          <w:color w:val="000000"/>
        </w:rPr>
        <w:t xml:space="preserve"> v. </w:t>
      </w:r>
      <w:r>
        <w:rPr>
          <w:i/>
          <w:iCs/>
          <w:color w:val="000000"/>
        </w:rPr>
        <w:t>Katz</w:t>
      </w:r>
      <w:r w:rsidR="008B54D4">
        <w:rPr>
          <w:color w:val="000000"/>
        </w:rPr>
        <w:t>,</w:t>
      </w:r>
      <w:r>
        <w:rPr>
          <w:color w:val="000000"/>
        </w:rPr>
        <w:t xml:space="preserve"> </w:t>
      </w:r>
      <w:hyperlink r:id="rId86" w:history="1">
        <w:r>
          <w:rPr>
            <w:color w:val="000000"/>
          </w:rPr>
          <w:t xml:space="preserve">546 </w:t>
        </w:r>
        <w:r w:rsidR="002F10FB">
          <w:rPr>
            <w:color w:val="000000"/>
          </w:rPr>
          <w:t xml:space="preserve">U.S. </w:t>
        </w:r>
        <w:r>
          <w:rPr>
            <w:color w:val="000000"/>
          </w:rPr>
          <w:t>356</w:t>
        </w:r>
        <w:r w:rsidR="008B54D4">
          <w:rPr>
            <w:color w:val="000000"/>
          </w:rPr>
          <w:t>,</w:t>
        </w:r>
        <w:r>
          <w:rPr>
            <w:color w:val="000000"/>
          </w:rPr>
          <w:t xml:space="preserve"> 362</w:t>
        </w:r>
      </w:hyperlink>
      <w:r>
        <w:rPr>
          <w:color w:val="000000"/>
        </w:rPr>
        <w:t xml:space="preserve"> (2006) (“Bankruptcy jurisdiction</w:t>
      </w:r>
      <w:r w:rsidR="008B54D4">
        <w:rPr>
          <w:color w:val="000000"/>
        </w:rPr>
        <w:t>,</w:t>
      </w:r>
      <w:r>
        <w:rPr>
          <w:color w:val="000000"/>
        </w:rPr>
        <w:t xml:space="preserve"> at its core</w:t>
      </w:r>
      <w:r w:rsidR="008B54D4">
        <w:rPr>
          <w:color w:val="000000"/>
        </w:rPr>
        <w:t>,</w:t>
      </w:r>
      <w:r>
        <w:rPr>
          <w:color w:val="000000"/>
        </w:rPr>
        <w:t xml:space="preserve"> is </w:t>
      </w:r>
      <w:r>
        <w:rPr>
          <w:i/>
          <w:iCs/>
          <w:color w:val="000000"/>
        </w:rPr>
        <w:t>in rem</w:t>
      </w:r>
      <w:r>
        <w:rPr>
          <w:color w:val="000000"/>
        </w:rPr>
        <w:t>.”)</w:t>
      </w:r>
      <w:r w:rsidR="006A227C">
        <w:rPr>
          <w:color w:val="000000"/>
        </w:rPr>
        <w:t xml:space="preserve">.  </w:t>
      </w:r>
      <w:r>
        <w:rPr>
          <w:color w:val="000000"/>
        </w:rPr>
        <w:t>Its jurisdiction is limited to “civil proceedings arising under title 11</w:t>
      </w:r>
      <w:r w:rsidR="008B54D4">
        <w:rPr>
          <w:color w:val="000000"/>
        </w:rPr>
        <w:t>,</w:t>
      </w:r>
      <w:r>
        <w:rPr>
          <w:color w:val="000000"/>
        </w:rPr>
        <w:t xml:space="preserve"> or arising in or related to cases under title 11</w:t>
      </w:r>
      <w:r w:rsidR="00FA79C1">
        <w:rPr>
          <w:color w:val="000000"/>
        </w:rPr>
        <w:t xml:space="preserve">.”  </w:t>
      </w:r>
      <w:hyperlink r:id="rId87" w:history="1">
        <w:r>
          <w:rPr>
            <w:color w:val="000000"/>
          </w:rPr>
          <w:t xml:space="preserve">28 </w:t>
        </w:r>
        <w:r w:rsidR="00522B24">
          <w:rPr>
            <w:color w:val="000000"/>
          </w:rPr>
          <w:t xml:space="preserve">U.S.C. </w:t>
        </w:r>
        <w:r>
          <w:rPr>
            <w:color w:val="000000"/>
          </w:rPr>
          <w:t>§ 1334(b)</w:t>
        </w:r>
      </w:hyperlink>
      <w:r>
        <w:rPr>
          <w:color w:val="000000"/>
        </w:rPr>
        <w:t>.</w:t>
      </w:r>
    </w:p>
    <w:p w14:paraId="0F019B09" w14:textId="389828D7" w:rsidR="00A77BBD" w:rsidRDefault="00A77BBD" w:rsidP="00A77BBD">
      <w:pPr>
        <w:pStyle w:val="BodyTextFirstIndent"/>
      </w:pPr>
      <w:r>
        <w:rPr>
          <w:color w:val="000000"/>
        </w:rPr>
        <w:t>A proceeding “arises under” title 11 if the claims “invoke substantive rights created by” that title</w:t>
      </w:r>
      <w:r w:rsidR="006A227C">
        <w:rPr>
          <w:color w:val="000000"/>
        </w:rPr>
        <w:t xml:space="preserve">.  </w:t>
      </w:r>
      <w:r>
        <w:rPr>
          <w:i/>
          <w:iCs/>
          <w:color w:val="000000"/>
        </w:rPr>
        <w:t>See In re Housecraft Industries USA</w:t>
      </w:r>
      <w:r w:rsidR="008B54D4">
        <w:rPr>
          <w:i/>
          <w:iCs/>
          <w:color w:val="000000"/>
        </w:rPr>
        <w:t>,</w:t>
      </w:r>
      <w:r>
        <w:rPr>
          <w:i/>
          <w:iCs/>
          <w:color w:val="000000"/>
        </w:rPr>
        <w:t xml:space="preserve"> Inc.</w:t>
      </w:r>
      <w:r w:rsidR="008B54D4">
        <w:rPr>
          <w:color w:val="000000"/>
        </w:rPr>
        <w:t>,</w:t>
      </w:r>
      <w:hyperlink r:id="rId88" w:history="1">
        <w:r>
          <w:rPr>
            <w:color w:val="000000"/>
          </w:rPr>
          <w:t xml:space="preserve"> 310 F.3d 64</w:t>
        </w:r>
        <w:r w:rsidR="008B54D4">
          <w:rPr>
            <w:color w:val="000000"/>
          </w:rPr>
          <w:t>,</w:t>
        </w:r>
        <w:r>
          <w:rPr>
            <w:color w:val="000000"/>
          </w:rPr>
          <w:t xml:space="preserve"> 70 </w:t>
        </w:r>
      </w:hyperlink>
      <w:r>
        <w:rPr>
          <w:color w:val="000000"/>
        </w:rPr>
        <w:t xml:space="preserve">(2d </w:t>
      </w:r>
      <w:r w:rsidR="00E97455">
        <w:rPr>
          <w:color w:val="000000"/>
        </w:rPr>
        <w:t xml:space="preserve">Cir. </w:t>
      </w:r>
      <w:r>
        <w:rPr>
          <w:color w:val="000000"/>
        </w:rPr>
        <w:t>2002)</w:t>
      </w:r>
      <w:r w:rsidR="006A227C">
        <w:rPr>
          <w:color w:val="000000"/>
        </w:rPr>
        <w:t xml:space="preserve">.  </w:t>
      </w:r>
      <w:r>
        <w:rPr>
          <w:color w:val="000000"/>
        </w:rPr>
        <w:t xml:space="preserve">A proceeding “arises in” a title 11 case if for example “Parties </w:t>
      </w:r>
      <w:r w:rsidR="00110F91">
        <w:rPr>
          <w:color w:val="000000"/>
        </w:rPr>
        <w:t xml:space="preserve">. . . </w:t>
      </w:r>
      <w:r w:rsidR="008B54D4">
        <w:rPr>
          <w:color w:val="000000"/>
        </w:rPr>
        <w:t>,</w:t>
      </w:r>
      <w:r>
        <w:rPr>
          <w:color w:val="000000"/>
        </w:rPr>
        <w:t xml:space="preserve"> by their conduct</w:t>
      </w:r>
      <w:r w:rsidR="008B54D4">
        <w:rPr>
          <w:color w:val="000000"/>
        </w:rPr>
        <w:t>,</w:t>
      </w:r>
      <w:r>
        <w:rPr>
          <w:color w:val="000000"/>
        </w:rPr>
        <w:t xml:space="preserve"> submit themselves to the bankruptcy court</w:t>
      </w:r>
      <w:r w:rsidR="008B54D4">
        <w:rPr>
          <w:color w:val="000000"/>
        </w:rPr>
        <w:t>’</w:t>
      </w:r>
      <w:r>
        <w:rPr>
          <w:color w:val="000000"/>
        </w:rPr>
        <w:t>s jurisdiction” by litigating proofs of claim without contesting personal jurisdiction</w:t>
      </w:r>
      <w:r w:rsidR="006A227C">
        <w:rPr>
          <w:color w:val="000000"/>
        </w:rPr>
        <w:t xml:space="preserve">.  </w:t>
      </w:r>
      <w:r>
        <w:rPr>
          <w:i/>
          <w:iCs/>
          <w:color w:val="000000"/>
        </w:rPr>
        <w:t>In re Millenium Seacarriers</w:t>
      </w:r>
      <w:r w:rsidR="008B54D4">
        <w:rPr>
          <w:i/>
          <w:iCs/>
          <w:color w:val="000000"/>
        </w:rPr>
        <w:t>,</w:t>
      </w:r>
      <w:r>
        <w:rPr>
          <w:i/>
          <w:iCs/>
          <w:color w:val="000000"/>
        </w:rPr>
        <w:t xml:space="preserve"> Inc.</w:t>
      </w:r>
      <w:r w:rsidR="008B54D4">
        <w:rPr>
          <w:color w:val="000000"/>
        </w:rPr>
        <w:t>,</w:t>
      </w:r>
      <w:r>
        <w:rPr>
          <w:color w:val="000000"/>
        </w:rPr>
        <w:t xml:space="preserve"> </w:t>
      </w:r>
      <w:hyperlink r:id="rId89" w:history="1">
        <w:r>
          <w:rPr>
            <w:color w:val="000000"/>
          </w:rPr>
          <w:t>419 F.3d 83</w:t>
        </w:r>
        <w:r w:rsidR="008B54D4">
          <w:rPr>
            <w:color w:val="000000"/>
          </w:rPr>
          <w:t>,</w:t>
        </w:r>
        <w:r>
          <w:rPr>
            <w:color w:val="000000"/>
          </w:rPr>
          <w:t xml:space="preserve"> 98 </w:t>
        </w:r>
      </w:hyperlink>
      <w:r>
        <w:rPr>
          <w:color w:val="000000"/>
        </w:rPr>
        <w:t xml:space="preserve">(2d </w:t>
      </w:r>
      <w:r w:rsidR="00E97455">
        <w:rPr>
          <w:color w:val="000000"/>
        </w:rPr>
        <w:t xml:space="preserve">Cir. </w:t>
      </w:r>
      <w:r>
        <w:rPr>
          <w:color w:val="000000"/>
        </w:rPr>
        <w:t xml:space="preserve">2005); </w:t>
      </w:r>
      <w:r>
        <w:rPr>
          <w:i/>
          <w:iCs/>
          <w:color w:val="000000"/>
        </w:rPr>
        <w:t>see In re S.G</w:t>
      </w:r>
      <w:r w:rsidR="006A227C">
        <w:rPr>
          <w:i/>
          <w:iCs/>
          <w:color w:val="000000"/>
        </w:rPr>
        <w:t xml:space="preserve">. </w:t>
      </w:r>
      <w:r>
        <w:rPr>
          <w:i/>
          <w:iCs/>
          <w:color w:val="000000"/>
        </w:rPr>
        <w:t>Phillips Constructors</w:t>
      </w:r>
      <w:r w:rsidR="008B54D4">
        <w:rPr>
          <w:i/>
          <w:iCs/>
          <w:color w:val="000000"/>
        </w:rPr>
        <w:t>,</w:t>
      </w:r>
      <w:r>
        <w:rPr>
          <w:i/>
          <w:iCs/>
          <w:color w:val="000000"/>
        </w:rPr>
        <w:t xml:space="preserve"> Inc.</w:t>
      </w:r>
      <w:r w:rsidR="008B54D4">
        <w:rPr>
          <w:color w:val="000000"/>
        </w:rPr>
        <w:t>,</w:t>
      </w:r>
      <w:r>
        <w:rPr>
          <w:color w:val="000000"/>
        </w:rPr>
        <w:t xml:space="preserve"> </w:t>
      </w:r>
      <w:hyperlink r:id="rId90" w:history="1">
        <w:r>
          <w:rPr>
            <w:color w:val="000000"/>
          </w:rPr>
          <w:t>45 F.3d 702</w:t>
        </w:r>
        <w:r w:rsidR="008B54D4">
          <w:rPr>
            <w:color w:val="000000"/>
          </w:rPr>
          <w:t>,</w:t>
        </w:r>
        <w:r>
          <w:rPr>
            <w:color w:val="000000"/>
          </w:rPr>
          <w:t xml:space="preserve"> 706</w:t>
        </w:r>
      </w:hyperlink>
      <w:r>
        <w:rPr>
          <w:color w:val="000000"/>
        </w:rPr>
        <w:t xml:space="preserve"> (2d </w:t>
      </w:r>
      <w:r w:rsidR="00E97455">
        <w:rPr>
          <w:color w:val="000000"/>
        </w:rPr>
        <w:t xml:space="preserve">Cir. </w:t>
      </w:r>
      <w:r>
        <w:rPr>
          <w:color w:val="000000"/>
        </w:rPr>
        <w:t>1995) (“</w:t>
      </w:r>
      <w:r>
        <w:rPr>
          <w:i/>
          <w:iCs/>
          <w:color w:val="000000"/>
        </w:rPr>
        <w:t xml:space="preserve">a claim filed against the estate </w:t>
      </w:r>
      <w:r w:rsidR="00110F91">
        <w:rPr>
          <w:i/>
          <w:iCs/>
          <w:color w:val="000000"/>
        </w:rPr>
        <w:t xml:space="preserve">. . . </w:t>
      </w:r>
      <w:r>
        <w:rPr>
          <w:i/>
          <w:iCs/>
          <w:color w:val="000000"/>
        </w:rPr>
        <w:t>could arise only in the context of bankruptcy</w:t>
      </w:r>
      <w:r>
        <w:rPr>
          <w:color w:val="000000"/>
        </w:rPr>
        <w:t>”) (emphasis in original) (quotation omitted)</w:t>
      </w:r>
      <w:r w:rsidR="006A227C">
        <w:rPr>
          <w:color w:val="000000"/>
        </w:rPr>
        <w:t xml:space="preserve">.  </w:t>
      </w:r>
      <w:r>
        <w:rPr>
          <w:color w:val="000000"/>
        </w:rPr>
        <w:t>And a proceeding is “related to” a title 11 proceeding if its “outcome might have any conceivable effect on the bankrupt estate</w:t>
      </w:r>
      <w:r w:rsidR="00FA79C1">
        <w:rPr>
          <w:color w:val="000000"/>
        </w:rPr>
        <w:t xml:space="preserve">.”  </w:t>
      </w:r>
      <w:r>
        <w:rPr>
          <w:i/>
          <w:iCs/>
          <w:color w:val="000000"/>
        </w:rPr>
        <w:t>In re Cuyahoga Equip</w:t>
      </w:r>
      <w:r w:rsidR="006A227C">
        <w:rPr>
          <w:i/>
          <w:iCs/>
          <w:color w:val="000000"/>
        </w:rPr>
        <w:t xml:space="preserve">. </w:t>
      </w:r>
      <w:r>
        <w:rPr>
          <w:i/>
          <w:iCs/>
          <w:color w:val="000000"/>
        </w:rPr>
        <w:t>Corp.</w:t>
      </w:r>
      <w:r w:rsidR="008B54D4">
        <w:rPr>
          <w:color w:val="000000"/>
        </w:rPr>
        <w:t>,</w:t>
      </w:r>
      <w:r>
        <w:rPr>
          <w:color w:val="000000"/>
        </w:rPr>
        <w:t xml:space="preserve"> </w:t>
      </w:r>
      <w:hyperlink r:id="rId91" w:history="1">
        <w:r>
          <w:rPr>
            <w:color w:val="000000"/>
          </w:rPr>
          <w:t>980 F.2d 110</w:t>
        </w:r>
        <w:r w:rsidR="008B54D4">
          <w:rPr>
            <w:color w:val="000000"/>
          </w:rPr>
          <w:t>,</w:t>
        </w:r>
        <w:r>
          <w:rPr>
            <w:color w:val="000000"/>
          </w:rPr>
          <w:t xml:space="preserve"> 114</w:t>
        </w:r>
      </w:hyperlink>
      <w:r>
        <w:rPr>
          <w:color w:val="000000"/>
        </w:rPr>
        <w:t xml:space="preserve"> (2d Cir.1992) </w:t>
      </w:r>
      <w:r>
        <w:rPr>
          <w:i/>
          <w:iCs/>
          <w:color w:val="000000"/>
        </w:rPr>
        <w:t>Parmalat Capital Fin</w:t>
      </w:r>
      <w:r w:rsidR="006A227C">
        <w:rPr>
          <w:i/>
          <w:iCs/>
          <w:color w:val="000000"/>
        </w:rPr>
        <w:t xml:space="preserve">. </w:t>
      </w:r>
      <w:r>
        <w:rPr>
          <w:i/>
          <w:iCs/>
          <w:color w:val="000000"/>
        </w:rPr>
        <w:t>Ltd</w:t>
      </w:r>
      <w:r w:rsidR="006A227C">
        <w:rPr>
          <w:i/>
          <w:iCs/>
          <w:color w:val="000000"/>
        </w:rPr>
        <w:t>.</w:t>
      </w:r>
      <w:r w:rsidR="00E150C1">
        <w:rPr>
          <w:i/>
          <w:iCs/>
          <w:color w:val="000000"/>
        </w:rPr>
        <w:t xml:space="preserve"> v. </w:t>
      </w:r>
      <w:r>
        <w:rPr>
          <w:i/>
          <w:iCs/>
          <w:color w:val="000000"/>
        </w:rPr>
        <w:t>Bank of Am</w:t>
      </w:r>
      <w:r w:rsidR="006A227C">
        <w:rPr>
          <w:i/>
          <w:iCs/>
          <w:color w:val="000000"/>
        </w:rPr>
        <w:t xml:space="preserve">. </w:t>
      </w:r>
      <w:r>
        <w:rPr>
          <w:i/>
          <w:iCs/>
          <w:color w:val="000000"/>
        </w:rPr>
        <w:t>Corp.</w:t>
      </w:r>
      <w:r w:rsidR="008B54D4">
        <w:rPr>
          <w:color w:val="000000"/>
        </w:rPr>
        <w:t>,</w:t>
      </w:r>
      <w:r>
        <w:rPr>
          <w:color w:val="000000"/>
        </w:rPr>
        <w:t xml:space="preserve"> </w:t>
      </w:r>
      <w:hyperlink r:id="rId92" w:history="1">
        <w:r>
          <w:rPr>
            <w:color w:val="000000"/>
          </w:rPr>
          <w:t>639 F.3d 572</w:t>
        </w:r>
        <w:r w:rsidR="008B54D4">
          <w:rPr>
            <w:color w:val="000000"/>
          </w:rPr>
          <w:t>,</w:t>
        </w:r>
        <w:r>
          <w:rPr>
            <w:color w:val="000000"/>
          </w:rPr>
          <w:t xml:space="preserve"> 579</w:t>
        </w:r>
      </w:hyperlink>
      <w:r>
        <w:rPr>
          <w:color w:val="000000"/>
        </w:rPr>
        <w:t xml:space="preserve"> (2d </w:t>
      </w:r>
      <w:r w:rsidR="00E97455">
        <w:rPr>
          <w:color w:val="000000"/>
        </w:rPr>
        <w:t xml:space="preserve">Cir. </w:t>
      </w:r>
      <w:r>
        <w:rPr>
          <w:color w:val="000000"/>
        </w:rPr>
        <w:t xml:space="preserve">2011); </w:t>
      </w:r>
      <w:r>
        <w:rPr>
          <w:i/>
          <w:iCs/>
          <w:color w:val="000000"/>
        </w:rPr>
        <w:t>SPV OSUS Ltd</w:t>
      </w:r>
      <w:r w:rsidR="006A227C">
        <w:rPr>
          <w:i/>
          <w:iCs/>
          <w:color w:val="000000"/>
        </w:rPr>
        <w:t>.</w:t>
      </w:r>
      <w:r w:rsidR="00E150C1">
        <w:rPr>
          <w:i/>
          <w:iCs/>
          <w:color w:val="000000"/>
        </w:rPr>
        <w:t xml:space="preserve"> v. </w:t>
      </w:r>
      <w:r>
        <w:rPr>
          <w:i/>
          <w:iCs/>
          <w:color w:val="000000"/>
        </w:rPr>
        <w:t>UBS</w:t>
      </w:r>
      <w:r w:rsidR="008B54D4">
        <w:rPr>
          <w:color w:val="000000"/>
        </w:rPr>
        <w:t>,</w:t>
      </w:r>
      <w:r>
        <w:rPr>
          <w:color w:val="000000"/>
        </w:rPr>
        <w:t xml:space="preserve"> </w:t>
      </w:r>
      <w:hyperlink r:id="rId93" w:history="1">
        <w:r>
          <w:rPr>
            <w:color w:val="000000"/>
          </w:rPr>
          <w:t>882 F.3d 333</w:t>
        </w:r>
        <w:r w:rsidR="008B54D4">
          <w:rPr>
            <w:color w:val="000000"/>
          </w:rPr>
          <w:t>,</w:t>
        </w:r>
        <w:r>
          <w:rPr>
            <w:color w:val="000000"/>
          </w:rPr>
          <w:t xml:space="preserve"> 339-340</w:t>
        </w:r>
      </w:hyperlink>
      <w:r>
        <w:rPr>
          <w:color w:val="000000"/>
        </w:rPr>
        <w:t xml:space="preserve"> (2d </w:t>
      </w:r>
      <w:r w:rsidR="00E97455">
        <w:rPr>
          <w:color w:val="000000"/>
        </w:rPr>
        <w:t xml:space="preserve">Cir. </w:t>
      </w:r>
      <w:r>
        <w:rPr>
          <w:color w:val="000000"/>
        </w:rPr>
        <w:t>2018).</w:t>
      </w:r>
    </w:p>
    <w:p w14:paraId="245E21CC" w14:textId="3777D16B" w:rsidR="00A77BBD" w:rsidRDefault="00A77BBD" w:rsidP="00A77BBD">
      <w:pPr>
        <w:pStyle w:val="BodyTextFirstIndent"/>
      </w:pPr>
      <w:r>
        <w:rPr>
          <w:color w:val="000000"/>
        </w:rPr>
        <w:t>The release of most third-party claims against a non-debtor touches the outer limit of the Bankruptcy Court</w:t>
      </w:r>
      <w:r w:rsidR="008B54D4">
        <w:rPr>
          <w:color w:val="000000"/>
        </w:rPr>
        <w:t>’</w:t>
      </w:r>
      <w:r>
        <w:rPr>
          <w:color w:val="000000"/>
        </w:rPr>
        <w:t>s jurisdiction</w:t>
      </w:r>
      <w:r w:rsidR="006A227C">
        <w:rPr>
          <w:color w:val="000000"/>
        </w:rPr>
        <w:t xml:space="preserve">.  </w:t>
      </w:r>
      <w:r>
        <w:rPr>
          <w:i/>
          <w:iCs/>
          <w:color w:val="000000"/>
        </w:rPr>
        <w:t>See In re Johns-Manville Corp</w:t>
      </w:r>
      <w:r>
        <w:rPr>
          <w:color w:val="000000"/>
        </w:rPr>
        <w:t>.</w:t>
      </w:r>
      <w:r w:rsidR="008B54D4">
        <w:rPr>
          <w:color w:val="000000"/>
        </w:rPr>
        <w:t>,</w:t>
      </w:r>
      <w:hyperlink r:id="rId94" w:history="1">
        <w:r>
          <w:rPr>
            <w:color w:val="000000"/>
          </w:rPr>
          <w:t xml:space="preserve"> 517 F.3d 52</w:t>
        </w:r>
        <w:r w:rsidR="008B54D4">
          <w:rPr>
            <w:color w:val="000000"/>
          </w:rPr>
          <w:t>,</w:t>
        </w:r>
        <w:r>
          <w:rPr>
            <w:color w:val="000000"/>
          </w:rPr>
          <w:t xml:space="preserve"> 55 </w:t>
        </w:r>
      </w:hyperlink>
      <w:r>
        <w:rPr>
          <w:color w:val="000000"/>
        </w:rPr>
        <w:t xml:space="preserve">(2d </w:t>
      </w:r>
      <w:r w:rsidR="00E97455">
        <w:rPr>
          <w:color w:val="000000"/>
        </w:rPr>
        <w:t xml:space="preserve">Cir. </w:t>
      </w:r>
      <w:r>
        <w:rPr>
          <w:color w:val="000000"/>
        </w:rPr>
        <w:t>2008) (“</w:t>
      </w:r>
      <w:r>
        <w:rPr>
          <w:i/>
          <w:iCs/>
          <w:color w:val="000000"/>
        </w:rPr>
        <w:t>Manville III</w:t>
      </w:r>
      <w:r>
        <w:rPr>
          <w:color w:val="000000"/>
        </w:rPr>
        <w:t>”)</w:t>
      </w:r>
      <w:r w:rsidR="008B54D4">
        <w:rPr>
          <w:color w:val="000000"/>
        </w:rPr>
        <w:t>,</w:t>
      </w:r>
      <w:r>
        <w:rPr>
          <w:color w:val="000000"/>
        </w:rPr>
        <w:t xml:space="preserve"> </w:t>
      </w:r>
      <w:r>
        <w:rPr>
          <w:i/>
          <w:iCs/>
          <w:color w:val="000000"/>
        </w:rPr>
        <w:t>rev</w:t>
      </w:r>
      <w:r w:rsidR="008B54D4">
        <w:rPr>
          <w:i/>
          <w:iCs/>
          <w:color w:val="000000"/>
        </w:rPr>
        <w:t>’</w:t>
      </w:r>
      <w:r>
        <w:rPr>
          <w:i/>
          <w:iCs/>
          <w:color w:val="000000"/>
        </w:rPr>
        <w:t>d and remanded on other grounds sub nom</w:t>
      </w:r>
      <w:r w:rsidR="006A227C">
        <w:rPr>
          <w:i/>
          <w:iCs/>
          <w:color w:val="000000"/>
        </w:rPr>
        <w:t xml:space="preserve">. </w:t>
      </w:r>
      <w:r>
        <w:rPr>
          <w:i/>
          <w:iCs/>
          <w:color w:val="000000"/>
        </w:rPr>
        <w:t>Travelers Indem</w:t>
      </w:r>
      <w:r w:rsidR="006A227C">
        <w:rPr>
          <w:i/>
          <w:iCs/>
          <w:color w:val="000000"/>
        </w:rPr>
        <w:t xml:space="preserve">. </w:t>
      </w:r>
      <w:r>
        <w:rPr>
          <w:i/>
          <w:iCs/>
          <w:color w:val="000000"/>
        </w:rPr>
        <w:t>Co</w:t>
      </w:r>
      <w:r w:rsidR="006A227C">
        <w:rPr>
          <w:i/>
          <w:iCs/>
          <w:color w:val="000000"/>
        </w:rPr>
        <w:t>.</w:t>
      </w:r>
      <w:r w:rsidR="00E150C1">
        <w:rPr>
          <w:i/>
          <w:iCs/>
          <w:color w:val="000000"/>
        </w:rPr>
        <w:t xml:space="preserve"> v. </w:t>
      </w:r>
      <w:r>
        <w:rPr>
          <w:i/>
          <w:iCs/>
          <w:color w:val="000000"/>
        </w:rPr>
        <w:t>Bailey</w:t>
      </w:r>
      <w:r w:rsidR="008B54D4">
        <w:rPr>
          <w:color w:val="000000"/>
        </w:rPr>
        <w:t>,</w:t>
      </w:r>
      <w:r w:rsidR="00D850FE">
        <w:rPr>
          <w:color w:val="000000"/>
        </w:rPr>
        <w:t xml:space="preserve"> </w:t>
      </w:r>
      <w:hyperlink r:id="rId95" w:history="1">
        <w:r>
          <w:rPr>
            <w:color w:val="000000"/>
          </w:rPr>
          <w:t xml:space="preserve">557 </w:t>
        </w:r>
        <w:r w:rsidR="002F10FB">
          <w:rPr>
            <w:color w:val="000000"/>
          </w:rPr>
          <w:t xml:space="preserve">U.S. </w:t>
        </w:r>
        <w:r>
          <w:rPr>
            <w:color w:val="000000"/>
          </w:rPr>
          <w:t xml:space="preserve">137 </w:t>
        </w:r>
      </w:hyperlink>
      <w:r>
        <w:rPr>
          <w:color w:val="000000"/>
        </w:rPr>
        <w:t>(2009)</w:t>
      </w:r>
      <w:r w:rsidR="006A227C">
        <w:rPr>
          <w:color w:val="000000"/>
        </w:rPr>
        <w:t xml:space="preserve">.  </w:t>
      </w:r>
      <w:r>
        <w:rPr>
          <w:color w:val="000000"/>
        </w:rPr>
        <w:t>But the Second Circuit defines that limit quite broadly</w:t>
      </w:r>
      <w:r w:rsidR="006A227C">
        <w:rPr>
          <w:color w:val="000000"/>
        </w:rPr>
        <w:t xml:space="preserve">.  </w:t>
      </w:r>
      <w:r>
        <w:rPr>
          <w:i/>
          <w:iCs/>
          <w:color w:val="000000"/>
        </w:rPr>
        <w:t>See SPV OSUS Ltd.</w:t>
      </w:r>
      <w:r w:rsidR="008B54D4">
        <w:rPr>
          <w:color w:val="000000"/>
        </w:rPr>
        <w:t>,</w:t>
      </w:r>
      <w:r>
        <w:rPr>
          <w:color w:val="000000"/>
        </w:rPr>
        <w:t xml:space="preserve"> </w:t>
      </w:r>
      <w:hyperlink r:id="rId96" w:history="1">
        <w:r>
          <w:rPr>
            <w:color w:val="000000"/>
          </w:rPr>
          <w:t>882 F.3d at 339-340</w:t>
        </w:r>
      </w:hyperlink>
      <w:r w:rsidR="006A227C">
        <w:rPr>
          <w:color w:val="000000"/>
        </w:rPr>
        <w:t xml:space="preserve">.  </w:t>
      </w:r>
      <w:r>
        <w:rPr>
          <w:color w:val="000000"/>
        </w:rPr>
        <w:t>The standard is not that an action</w:t>
      </w:r>
      <w:r w:rsidR="008B54D4">
        <w:rPr>
          <w:color w:val="000000"/>
        </w:rPr>
        <w:t>’</w:t>
      </w:r>
      <w:r>
        <w:rPr>
          <w:color w:val="000000"/>
        </w:rPr>
        <w:t>s outcome will certainly have</w:t>
      </w:r>
      <w:r w:rsidR="008B54D4">
        <w:rPr>
          <w:color w:val="000000"/>
        </w:rPr>
        <w:t>,</w:t>
      </w:r>
      <w:r>
        <w:rPr>
          <w:color w:val="000000"/>
        </w:rPr>
        <w:t xml:space="preserve"> or even that it is likely to have</w:t>
      </w:r>
      <w:r w:rsidR="008B54D4">
        <w:rPr>
          <w:color w:val="000000"/>
        </w:rPr>
        <w:t>,</w:t>
      </w:r>
      <w:r>
        <w:rPr>
          <w:color w:val="000000"/>
        </w:rPr>
        <w:t xml:space="preserve"> an effect on the </w:t>
      </w:r>
      <w:r>
        <w:rPr>
          <w:i/>
          <w:iCs/>
          <w:color w:val="000000"/>
        </w:rPr>
        <w:t>res</w:t>
      </w:r>
      <w:r>
        <w:rPr>
          <w:color w:val="000000"/>
        </w:rPr>
        <w:t xml:space="preserve"> of the estate</w:t>
      </w:r>
      <w:r w:rsidR="008B54D4">
        <w:rPr>
          <w:color w:val="000000"/>
        </w:rPr>
        <w:t>,</w:t>
      </w:r>
      <w:r>
        <w:rPr>
          <w:color w:val="000000"/>
        </w:rPr>
        <w:t xml:space="preserve"> as is the case in some other Circuits</w:t>
      </w:r>
      <w:r w:rsidR="006A227C">
        <w:rPr>
          <w:color w:val="000000"/>
        </w:rPr>
        <w:t xml:space="preserve">.  </w:t>
      </w:r>
      <w:r>
        <w:rPr>
          <w:color w:val="000000"/>
        </w:rPr>
        <w:t>It is</w:t>
      </w:r>
      <w:r w:rsidR="008B54D4">
        <w:rPr>
          <w:color w:val="000000"/>
        </w:rPr>
        <w:t>,</w:t>
      </w:r>
      <w:r>
        <w:rPr>
          <w:color w:val="000000"/>
        </w:rPr>
        <w:t xml:space="preserve"> rather</w:t>
      </w:r>
      <w:r w:rsidR="008B54D4">
        <w:rPr>
          <w:color w:val="000000"/>
        </w:rPr>
        <w:t>,</w:t>
      </w:r>
      <w:r>
        <w:rPr>
          <w:color w:val="000000"/>
        </w:rPr>
        <w:t xml:space="preserve"> whether it </w:t>
      </w:r>
      <w:r>
        <w:rPr>
          <w:i/>
          <w:iCs/>
          <w:color w:val="000000"/>
        </w:rPr>
        <w:t>might have any conceivable impact</w:t>
      </w:r>
      <w:r>
        <w:rPr>
          <w:color w:val="000000"/>
        </w:rPr>
        <w:t xml:space="preserve"> on the estate</w:t>
      </w:r>
      <w:r w:rsidR="006A227C">
        <w:rPr>
          <w:color w:val="000000"/>
        </w:rPr>
        <w:t xml:space="preserve">.  </w:t>
      </w:r>
      <w:r>
        <w:rPr>
          <w:i/>
          <w:iCs/>
          <w:color w:val="000000"/>
        </w:rPr>
        <w:t>Id.</w:t>
      </w:r>
    </w:p>
    <w:p w14:paraId="4A436341" w14:textId="190E0831" w:rsidR="00A77BBD" w:rsidRDefault="00A77BBD" w:rsidP="00A77BBD">
      <w:pPr>
        <w:pStyle w:val="BodyTextFirstIndent"/>
      </w:pPr>
      <w:r>
        <w:rPr>
          <w:color w:val="000000"/>
        </w:rPr>
        <w:t>Bound to adhere to this broad standard</w:t>
      </w:r>
      <w:r w:rsidR="008B54D4">
        <w:rPr>
          <w:color w:val="000000"/>
        </w:rPr>
        <w:t>,</w:t>
      </w:r>
      <w:r>
        <w:rPr>
          <w:color w:val="000000"/>
        </w:rPr>
        <w:t xml:space="preserve"> which has been consistently followed in this Circuit for almost three decades and was applied most recently in </w:t>
      </w:r>
      <w:r>
        <w:rPr>
          <w:i/>
          <w:iCs/>
          <w:color w:val="000000"/>
        </w:rPr>
        <w:t>SPV Osus</w:t>
      </w:r>
      <w:r w:rsidR="008B54D4">
        <w:rPr>
          <w:color w:val="000000"/>
        </w:rPr>
        <w:t>,</w:t>
      </w:r>
      <w:r>
        <w:rPr>
          <w:color w:val="000000"/>
        </w:rPr>
        <w:t xml:space="preserve"> I agree with the Debtors that the Bankruptcy Court had subject matter jurisdiction over the direct (non-derivative) third party claims against the </w:t>
      </w:r>
      <w:r w:rsidR="00E82FD6">
        <w:rPr>
          <w:color w:val="000000"/>
        </w:rPr>
        <w:t>Packler</w:t>
      </w:r>
      <w:r>
        <w:rPr>
          <w:color w:val="000000"/>
        </w:rPr>
        <w:t>s</w:t>
      </w:r>
      <w:r w:rsidR="008B54D4">
        <w:rPr>
          <w:color w:val="000000"/>
        </w:rPr>
        <w:t>,</w:t>
      </w:r>
      <w:r>
        <w:rPr>
          <w:color w:val="000000"/>
        </w:rPr>
        <w:t xml:space="preserve"> under the “related to” prong of bankruptcy jurisdiction.</w:t>
      </w:r>
    </w:p>
    <w:p w14:paraId="16438DC8" w14:textId="4E5FAFA6" w:rsidR="00A77BBD" w:rsidRDefault="00A77BBD" w:rsidP="00D850FE">
      <w:pPr>
        <w:pStyle w:val="Heading3"/>
      </w:pPr>
      <w:r>
        <w:t>Governing Law</w:t>
      </w:r>
    </w:p>
    <w:p w14:paraId="38A2EAFA" w14:textId="57CD7B7E" w:rsidR="00A77BBD" w:rsidRDefault="00A77BBD" w:rsidP="00A77BBD">
      <w:pPr>
        <w:pStyle w:val="BodyTextFirstIndent"/>
      </w:pPr>
      <w:r>
        <w:rPr>
          <w:color w:val="000000"/>
        </w:rPr>
        <w:t>Decades ago</w:t>
      </w:r>
      <w:r w:rsidR="008B54D4">
        <w:rPr>
          <w:color w:val="000000"/>
        </w:rPr>
        <w:t>,</w:t>
      </w:r>
      <w:r>
        <w:rPr>
          <w:color w:val="000000"/>
        </w:rPr>
        <w:t xml:space="preserve"> the Second Circuit concluded that the outer limit of a bankruptcy court</w:t>
      </w:r>
      <w:r w:rsidR="008B54D4">
        <w:rPr>
          <w:color w:val="000000"/>
        </w:rPr>
        <w:t>’</w:t>
      </w:r>
      <w:r>
        <w:rPr>
          <w:color w:val="000000"/>
        </w:rPr>
        <w:t xml:space="preserve">s </w:t>
      </w:r>
      <w:r>
        <w:rPr>
          <w:i/>
          <w:iCs/>
          <w:color w:val="000000"/>
        </w:rPr>
        <w:t>in rem</w:t>
      </w:r>
      <w:r>
        <w:rPr>
          <w:color w:val="000000"/>
        </w:rPr>
        <w:t xml:space="preserve"> jurisdiction was defined by whether the outcome of a proceeding asserting a particular claim “might have any conceivable effect” on the </w:t>
      </w:r>
      <w:r>
        <w:rPr>
          <w:i/>
          <w:iCs/>
          <w:color w:val="000000"/>
        </w:rPr>
        <w:t>res</w:t>
      </w:r>
      <w:r>
        <w:rPr>
          <w:color w:val="000000"/>
        </w:rPr>
        <w:t xml:space="preserve"> of the estate</w:t>
      </w:r>
      <w:r w:rsidR="006A227C">
        <w:rPr>
          <w:color w:val="000000"/>
        </w:rPr>
        <w:t xml:space="preserve">.  </w:t>
      </w:r>
      <w:r>
        <w:rPr>
          <w:i/>
          <w:iCs/>
          <w:color w:val="000000"/>
        </w:rPr>
        <w:t>See In re Cuyahoga Equipment Corp.</w:t>
      </w:r>
      <w:r w:rsidR="008B54D4">
        <w:rPr>
          <w:color w:val="000000"/>
        </w:rPr>
        <w:t>,</w:t>
      </w:r>
      <w:r>
        <w:rPr>
          <w:color w:val="000000"/>
        </w:rPr>
        <w:t xml:space="preserve"> </w:t>
      </w:r>
      <w:hyperlink r:id="rId97" w:history="1">
        <w:r>
          <w:rPr>
            <w:color w:val="000000"/>
          </w:rPr>
          <w:t>980 F.2d at 114</w:t>
        </w:r>
      </w:hyperlink>
      <w:r w:rsidR="006A227C">
        <w:rPr>
          <w:color w:val="000000"/>
        </w:rPr>
        <w:t xml:space="preserve">.  </w:t>
      </w:r>
      <w:r>
        <w:rPr>
          <w:color w:val="000000"/>
        </w:rPr>
        <w:t>In that case</w:t>
      </w:r>
      <w:r w:rsidR="008B54D4">
        <w:rPr>
          <w:color w:val="000000"/>
        </w:rPr>
        <w:t>,</w:t>
      </w:r>
      <w:r>
        <w:rPr>
          <w:color w:val="000000"/>
        </w:rPr>
        <w:t xml:space="preserve"> a liquor distillery and its site of operation containing hazardous wastes was sold to a purchaser that subsequently went bankrupt; the bankruptcy court was asked to resolve not only the proceedings in bankruptcy but approve a settlement that released a creditor bank from claims related to separate environmental cleanup litigation (brought by the creditor Environmental Protection Agency (the “EPA”))</w:t>
      </w:r>
      <w:r w:rsidR="006A227C">
        <w:rPr>
          <w:color w:val="000000"/>
        </w:rPr>
        <w:t xml:space="preserve">.  </w:t>
      </w:r>
      <w:r w:rsidR="00FD7892">
        <w:rPr>
          <w:i/>
          <w:iCs/>
          <w:color w:val="000000"/>
        </w:rPr>
        <w:t xml:space="preserve">Id. </w:t>
      </w:r>
      <w:r>
        <w:rPr>
          <w:color w:val="000000"/>
        </w:rPr>
        <w:t>at 111-112</w:t>
      </w:r>
      <w:r w:rsidR="006A227C">
        <w:rPr>
          <w:color w:val="000000"/>
        </w:rPr>
        <w:t xml:space="preserve">.  </w:t>
      </w:r>
      <w:r>
        <w:rPr>
          <w:color w:val="000000"/>
        </w:rPr>
        <w:t>The original owner of the liquor distillery site - a non-debtor third party and defendant in the environmental cleanup litigation - objected and appealed arguing</w:t>
      </w:r>
      <w:r w:rsidR="008B54D4">
        <w:rPr>
          <w:color w:val="000000"/>
        </w:rPr>
        <w:t>,</w:t>
      </w:r>
      <w:r>
        <w:rPr>
          <w:color w:val="000000"/>
        </w:rPr>
        <w:t xml:space="preserve"> </w:t>
      </w:r>
      <w:r>
        <w:rPr>
          <w:i/>
          <w:iCs/>
          <w:color w:val="000000"/>
        </w:rPr>
        <w:t>inter alia</w:t>
      </w:r>
      <w:r w:rsidR="008B54D4">
        <w:rPr>
          <w:color w:val="000000"/>
        </w:rPr>
        <w:t>,</w:t>
      </w:r>
      <w:r>
        <w:rPr>
          <w:color w:val="000000"/>
        </w:rPr>
        <w:t xml:space="preserve"> that the court lacked jurisdiction to approve the settlement</w:t>
      </w:r>
      <w:r w:rsidR="006A227C">
        <w:rPr>
          <w:color w:val="000000"/>
        </w:rPr>
        <w:t xml:space="preserve">.  </w:t>
      </w:r>
      <w:r>
        <w:rPr>
          <w:color w:val="000000"/>
        </w:rPr>
        <w:t>The Second Circuit found that the court had related to jurisdiction because the bank</w:t>
      </w:r>
      <w:r w:rsidR="008B54D4">
        <w:rPr>
          <w:color w:val="000000"/>
        </w:rPr>
        <w:t>’</w:t>
      </w:r>
      <w:r>
        <w:rPr>
          <w:color w:val="000000"/>
        </w:rPr>
        <w:t>s and the EPA</w:t>
      </w:r>
      <w:r w:rsidR="008B54D4">
        <w:rPr>
          <w:color w:val="000000"/>
        </w:rPr>
        <w:t>’</w:t>
      </w:r>
      <w:r>
        <w:rPr>
          <w:color w:val="000000"/>
        </w:rPr>
        <w:t>s claims against the estate “bring into question the very distribution of the estate</w:t>
      </w:r>
      <w:r w:rsidR="008B54D4">
        <w:rPr>
          <w:color w:val="000000"/>
        </w:rPr>
        <w:t>’</w:t>
      </w:r>
      <w:r>
        <w:rPr>
          <w:color w:val="000000"/>
        </w:rPr>
        <w:t>s property</w:t>
      </w:r>
      <w:r w:rsidR="00FA79C1">
        <w:rPr>
          <w:color w:val="000000"/>
        </w:rPr>
        <w:t xml:space="preserve">.”  </w:t>
      </w:r>
      <w:r w:rsidR="00FD7892">
        <w:rPr>
          <w:i/>
          <w:iCs/>
          <w:color w:val="000000"/>
        </w:rPr>
        <w:t xml:space="preserve">Id. </w:t>
      </w:r>
      <w:r>
        <w:rPr>
          <w:color w:val="000000"/>
        </w:rPr>
        <w:t>at 114</w:t>
      </w:r>
      <w:r w:rsidR="006A227C">
        <w:rPr>
          <w:color w:val="000000"/>
        </w:rPr>
        <w:t xml:space="preserve">.  </w:t>
      </w:r>
      <w:r>
        <w:rPr>
          <w:color w:val="000000"/>
        </w:rPr>
        <w:t>“[Section] 1334(b) undoubtedly vested the district court with the power to approve the agreement between the parties at least to the extent it compromised the bankruptcy claims asserted by the bank and the government</w:t>
      </w:r>
      <w:r w:rsidR="00FA79C1">
        <w:rPr>
          <w:color w:val="000000"/>
        </w:rPr>
        <w:t xml:space="preserve">.”  </w:t>
      </w:r>
      <w:r w:rsidR="00FD7892">
        <w:rPr>
          <w:i/>
          <w:iCs/>
          <w:color w:val="000000"/>
        </w:rPr>
        <w:t xml:space="preserve">Id. </w:t>
      </w:r>
      <w:r>
        <w:rPr>
          <w:color w:val="000000"/>
        </w:rPr>
        <w:t>at 115.</w:t>
      </w:r>
    </w:p>
    <w:p w14:paraId="5D1D50EF" w14:textId="5F25DBFE" w:rsidR="00A77BBD" w:rsidRDefault="00A77BBD" w:rsidP="00A77BBD">
      <w:pPr>
        <w:pStyle w:val="BodyTextFirstIndent"/>
      </w:pPr>
      <w:r>
        <w:rPr>
          <w:color w:val="000000"/>
        </w:rPr>
        <w:t xml:space="preserve">In </w:t>
      </w:r>
      <w:r>
        <w:rPr>
          <w:i/>
          <w:iCs/>
          <w:color w:val="000000"/>
        </w:rPr>
        <w:t>Celotex Corp</w:t>
      </w:r>
      <w:r w:rsidR="006A227C">
        <w:rPr>
          <w:i/>
          <w:iCs/>
          <w:color w:val="000000"/>
        </w:rPr>
        <w:t>.</w:t>
      </w:r>
      <w:r w:rsidR="00E150C1">
        <w:rPr>
          <w:i/>
          <w:iCs/>
          <w:color w:val="000000"/>
        </w:rPr>
        <w:t xml:space="preserve"> v. </w:t>
      </w:r>
      <w:r>
        <w:rPr>
          <w:i/>
          <w:iCs/>
          <w:color w:val="000000"/>
        </w:rPr>
        <w:t>Edwards</w:t>
      </w:r>
      <w:r w:rsidR="008B54D4">
        <w:rPr>
          <w:color w:val="000000"/>
        </w:rPr>
        <w:t>,</w:t>
      </w:r>
      <w:hyperlink r:id="rId98" w:history="1">
        <w:r>
          <w:rPr>
            <w:color w:val="000000"/>
          </w:rPr>
          <w:t xml:space="preserve"> 514 </w:t>
        </w:r>
        <w:r w:rsidR="002F10FB">
          <w:rPr>
            <w:color w:val="000000"/>
          </w:rPr>
          <w:t xml:space="preserve">U.S. </w:t>
        </w:r>
        <w:r>
          <w:rPr>
            <w:color w:val="000000"/>
          </w:rPr>
          <w:t>300</w:t>
        </w:r>
      </w:hyperlink>
      <w:r>
        <w:rPr>
          <w:color w:val="000000"/>
        </w:rPr>
        <w:t xml:space="preserve"> (1995)</w:t>
      </w:r>
      <w:r w:rsidR="008B54D4">
        <w:rPr>
          <w:color w:val="000000"/>
        </w:rPr>
        <w:t>,</w:t>
      </w:r>
      <w:r>
        <w:rPr>
          <w:color w:val="000000"/>
        </w:rPr>
        <w:t xml:space="preserve"> the United States Supreme Court decreed that “related to” jurisdiction was “a grant of some breadth” and that “jurisdiction of bankruptcy courts may extend </w:t>
      </w:r>
      <w:r w:rsidR="00110F91">
        <w:rPr>
          <w:color w:val="000000"/>
        </w:rPr>
        <w:t xml:space="preserve">. . . </w:t>
      </w:r>
      <w:r>
        <w:rPr>
          <w:color w:val="000000"/>
        </w:rPr>
        <w:t>broadly” in “reorganization under Chapter 11</w:t>
      </w:r>
      <w:r w:rsidR="00FA79C1">
        <w:rPr>
          <w:color w:val="000000"/>
        </w:rPr>
        <w:t xml:space="preserve">.”  </w:t>
      </w:r>
      <w:r w:rsidR="00FD7892">
        <w:rPr>
          <w:i/>
          <w:iCs/>
          <w:color w:val="000000"/>
        </w:rPr>
        <w:t xml:space="preserve">Id. </w:t>
      </w:r>
      <w:r>
        <w:rPr>
          <w:color w:val="000000"/>
        </w:rPr>
        <w:t>at 308</w:t>
      </w:r>
      <w:r w:rsidR="006A227C">
        <w:rPr>
          <w:color w:val="000000"/>
        </w:rPr>
        <w:t xml:space="preserve">.  </w:t>
      </w:r>
      <w:r>
        <w:rPr>
          <w:color w:val="000000"/>
        </w:rPr>
        <w:t>And while some courts of appeal have circumscribed the scope of “related to” jurisdiction in their circuits</w:t>
      </w:r>
      <w:r w:rsidR="008B54D4">
        <w:rPr>
          <w:color w:val="000000"/>
        </w:rPr>
        <w:t>,</w:t>
      </w:r>
      <w:r>
        <w:rPr>
          <w:color w:val="000000"/>
        </w:rPr>
        <w:t xml:space="preserve"> </w:t>
      </w:r>
      <w:r>
        <w:rPr>
          <w:i/>
          <w:iCs/>
          <w:color w:val="000000"/>
        </w:rPr>
        <w:t>see e.g.</w:t>
      </w:r>
      <w:r w:rsidR="008B54D4">
        <w:rPr>
          <w:color w:val="000000"/>
        </w:rPr>
        <w:t>,</w:t>
      </w:r>
      <w:r>
        <w:rPr>
          <w:color w:val="000000"/>
        </w:rPr>
        <w:t xml:space="preserve"> </w:t>
      </w:r>
      <w:r>
        <w:rPr>
          <w:i/>
          <w:iCs/>
          <w:color w:val="000000"/>
        </w:rPr>
        <w:t>In re W.R</w:t>
      </w:r>
      <w:r w:rsidR="006A227C">
        <w:rPr>
          <w:i/>
          <w:iCs/>
          <w:color w:val="000000"/>
        </w:rPr>
        <w:t xml:space="preserve">. </w:t>
      </w:r>
      <w:r>
        <w:rPr>
          <w:i/>
          <w:iCs/>
          <w:color w:val="000000"/>
        </w:rPr>
        <w:t>Grace &amp; Co.</w:t>
      </w:r>
      <w:r w:rsidR="008B54D4">
        <w:rPr>
          <w:color w:val="000000"/>
        </w:rPr>
        <w:t>,</w:t>
      </w:r>
      <w:r>
        <w:rPr>
          <w:color w:val="000000"/>
        </w:rPr>
        <w:t xml:space="preserve"> </w:t>
      </w:r>
      <w:hyperlink r:id="rId99" w:history="1">
        <w:r>
          <w:rPr>
            <w:color w:val="000000"/>
          </w:rPr>
          <w:t>900 F.3d 126</w:t>
        </w:r>
      </w:hyperlink>
      <w:r>
        <w:rPr>
          <w:color w:val="000000"/>
        </w:rPr>
        <w:t xml:space="preserve"> (3d </w:t>
      </w:r>
      <w:r w:rsidR="00E97455">
        <w:rPr>
          <w:color w:val="000000"/>
        </w:rPr>
        <w:t xml:space="preserve">Cir. </w:t>
      </w:r>
      <w:r>
        <w:rPr>
          <w:color w:val="000000"/>
        </w:rPr>
        <w:t>2018)</w:t>
      </w:r>
      <w:r w:rsidR="008B54D4">
        <w:rPr>
          <w:color w:val="000000"/>
        </w:rPr>
        <w:t>,</w:t>
      </w:r>
      <w:r>
        <w:rPr>
          <w:color w:val="000000"/>
        </w:rPr>
        <w:t xml:space="preserve"> the Second Circuit has never backed away from its broad reading of “related to” jurisdiction</w:t>
      </w:r>
      <w:r w:rsidR="006A227C">
        <w:rPr>
          <w:color w:val="000000"/>
        </w:rPr>
        <w:t xml:space="preserve">.  </w:t>
      </w:r>
      <w:r>
        <w:rPr>
          <w:i/>
          <w:iCs/>
          <w:color w:val="000000"/>
        </w:rPr>
        <w:t>See</w:t>
      </w:r>
      <w:r w:rsidR="008B54D4">
        <w:rPr>
          <w:i/>
          <w:iCs/>
          <w:color w:val="000000"/>
        </w:rPr>
        <w:t>,</w:t>
      </w:r>
      <w:r>
        <w:rPr>
          <w:i/>
          <w:iCs/>
          <w:color w:val="000000"/>
        </w:rPr>
        <w:t xml:space="preserve"> e.g</w:t>
      </w:r>
      <w:r w:rsidRPr="00D850FE">
        <w:rPr>
          <w:color w:val="000000"/>
        </w:rPr>
        <w:t>.</w:t>
      </w:r>
      <w:r w:rsidR="008B54D4" w:rsidRPr="00D850FE">
        <w:rPr>
          <w:color w:val="000000"/>
        </w:rPr>
        <w:t>,</w:t>
      </w:r>
      <w:r>
        <w:rPr>
          <w:i/>
          <w:iCs/>
          <w:color w:val="000000"/>
        </w:rPr>
        <w:t xml:space="preserve"> In re Ampal- American Israel Corporation</w:t>
      </w:r>
      <w:r w:rsidR="008B54D4">
        <w:rPr>
          <w:color w:val="000000"/>
        </w:rPr>
        <w:t>,</w:t>
      </w:r>
      <w:r>
        <w:rPr>
          <w:color w:val="000000"/>
        </w:rPr>
        <w:t xml:space="preserve"> </w:t>
      </w:r>
      <w:hyperlink r:id="rId100" w:history="1">
        <w:r>
          <w:rPr>
            <w:color w:val="000000"/>
          </w:rPr>
          <w:t>677 Fed.</w:t>
        </w:r>
        <w:r w:rsidR="00B57F95">
          <w:rPr>
            <w:color w:val="000000"/>
          </w:rPr>
          <w:t xml:space="preserve"> </w:t>
        </w:r>
        <w:r>
          <w:rPr>
            <w:color w:val="000000"/>
          </w:rPr>
          <w:t>Appx</w:t>
        </w:r>
        <w:r w:rsidR="006A227C">
          <w:rPr>
            <w:color w:val="000000"/>
          </w:rPr>
          <w:t xml:space="preserve">. </w:t>
        </w:r>
        <w:r>
          <w:rPr>
            <w:color w:val="000000"/>
          </w:rPr>
          <w:t>5</w:t>
        </w:r>
        <w:r w:rsidR="008B54D4">
          <w:rPr>
            <w:color w:val="000000"/>
          </w:rPr>
          <w:t>,</w:t>
        </w:r>
        <w:r>
          <w:rPr>
            <w:color w:val="000000"/>
          </w:rPr>
          <w:t xml:space="preserve"> 6</w:t>
        </w:r>
      </w:hyperlink>
      <w:r>
        <w:rPr>
          <w:color w:val="000000"/>
        </w:rPr>
        <w:t xml:space="preserve"> (2d </w:t>
      </w:r>
      <w:r w:rsidR="00E97455">
        <w:rPr>
          <w:color w:val="000000"/>
        </w:rPr>
        <w:t xml:space="preserve">Cir. </w:t>
      </w:r>
      <w:r>
        <w:rPr>
          <w:color w:val="000000"/>
        </w:rPr>
        <w:t>2017) (summary order).</w:t>
      </w:r>
    </w:p>
    <w:p w14:paraId="48B6D20A" w14:textId="463B071B" w:rsidR="00A77BBD" w:rsidRDefault="0073548B" w:rsidP="00A77BBD">
      <w:pPr>
        <w:pStyle w:val="BodyTextFirstIndent"/>
      </w:pPr>
      <w:r>
        <w:rPr>
          <w:color w:val="000000"/>
        </w:rPr>
        <w:t xml:space="preserve">Our </w:t>
      </w:r>
      <w:r w:rsidR="00A77BBD">
        <w:rPr>
          <w:color w:val="000000"/>
        </w:rPr>
        <w:t>Circuit</w:t>
      </w:r>
      <w:r w:rsidR="008B54D4">
        <w:rPr>
          <w:color w:val="000000"/>
        </w:rPr>
        <w:t>’</w:t>
      </w:r>
      <w:r w:rsidR="00A77BBD">
        <w:rPr>
          <w:color w:val="000000"/>
        </w:rPr>
        <w:t xml:space="preserve">s most recent discussion of the subject can be found in </w:t>
      </w:r>
      <w:r w:rsidR="00A77BBD">
        <w:rPr>
          <w:i/>
          <w:iCs/>
          <w:color w:val="000000"/>
        </w:rPr>
        <w:t xml:space="preserve">SPV OSUS </w:t>
      </w:r>
      <w:r w:rsidR="00D850FE">
        <w:rPr>
          <w:i/>
          <w:iCs/>
          <w:color w:val="000000"/>
        </w:rPr>
        <w:t xml:space="preserve">Ltd. </w:t>
      </w:r>
      <w:r w:rsidR="00E150C1">
        <w:rPr>
          <w:i/>
          <w:iCs/>
          <w:color w:val="000000"/>
        </w:rPr>
        <w:t xml:space="preserve">v. </w:t>
      </w:r>
      <w:r w:rsidR="00A77BBD">
        <w:rPr>
          <w:i/>
          <w:iCs/>
          <w:color w:val="000000"/>
        </w:rPr>
        <w:t>UBS AG</w:t>
      </w:r>
      <w:r w:rsidR="008B54D4">
        <w:rPr>
          <w:color w:val="000000"/>
        </w:rPr>
        <w:t>,</w:t>
      </w:r>
      <w:hyperlink r:id="rId101" w:history="1">
        <w:r w:rsidR="00A77BBD">
          <w:rPr>
            <w:color w:val="000000"/>
          </w:rPr>
          <w:t xml:space="preserve"> 882 F.3d 333</w:t>
        </w:r>
      </w:hyperlink>
      <w:r w:rsidR="00A77BBD">
        <w:rPr>
          <w:color w:val="000000"/>
        </w:rPr>
        <w:t xml:space="preserve"> (2d </w:t>
      </w:r>
      <w:r w:rsidR="00E97455">
        <w:rPr>
          <w:color w:val="000000"/>
        </w:rPr>
        <w:t xml:space="preserve">Cir. </w:t>
      </w:r>
      <w:r w:rsidR="00A77BBD">
        <w:rPr>
          <w:color w:val="000000"/>
        </w:rPr>
        <w:t>2018)</w:t>
      </w:r>
      <w:r w:rsidR="006A227C">
        <w:rPr>
          <w:color w:val="000000"/>
        </w:rPr>
        <w:t xml:space="preserve">.  </w:t>
      </w:r>
      <w:r w:rsidR="00A77BBD">
        <w:rPr>
          <w:color w:val="000000"/>
        </w:rPr>
        <w:t xml:space="preserve">SPV Osus </w:t>
      </w:r>
      <w:r w:rsidR="00D850FE">
        <w:rPr>
          <w:color w:val="000000"/>
        </w:rPr>
        <w:t xml:space="preserve">Ltd. </w:t>
      </w:r>
      <w:r w:rsidR="00A77BBD">
        <w:rPr>
          <w:color w:val="000000"/>
        </w:rPr>
        <w:t>(“SPV”) had sued UBS AG (“UBS”) (among others) in the New York State Supreme Court for aiding and abetting Bernie Madoff (“Madoff”) and Bernard L</w:t>
      </w:r>
      <w:r w:rsidR="006A227C">
        <w:rPr>
          <w:color w:val="000000"/>
        </w:rPr>
        <w:t xml:space="preserve">. </w:t>
      </w:r>
      <w:r w:rsidR="00A77BBD">
        <w:rPr>
          <w:color w:val="000000"/>
        </w:rPr>
        <w:t>Madoff Investment Securities LLC (“BLMIS”) in perpetrating their massive Ponzi scheme</w:t>
      </w:r>
      <w:r w:rsidR="006A227C">
        <w:rPr>
          <w:color w:val="000000"/>
        </w:rPr>
        <w:t xml:space="preserve">.  </w:t>
      </w:r>
      <w:r w:rsidR="00FD7892">
        <w:rPr>
          <w:i/>
          <w:iCs/>
          <w:color w:val="000000"/>
        </w:rPr>
        <w:t xml:space="preserve">Id. </w:t>
      </w:r>
      <w:r w:rsidR="00A77BBD">
        <w:rPr>
          <w:color w:val="000000"/>
        </w:rPr>
        <w:t>at 337-338</w:t>
      </w:r>
      <w:r w:rsidR="006A227C">
        <w:rPr>
          <w:color w:val="000000"/>
        </w:rPr>
        <w:t xml:space="preserve">.  </w:t>
      </w:r>
      <w:r w:rsidR="00A77BBD">
        <w:rPr>
          <w:color w:val="000000"/>
        </w:rPr>
        <w:t>If UBS was indeed a joint tortfeasor with Madoff</w:t>
      </w:r>
      <w:r w:rsidR="008B54D4">
        <w:rPr>
          <w:color w:val="000000"/>
        </w:rPr>
        <w:t>,</w:t>
      </w:r>
      <w:r w:rsidR="00A77BBD">
        <w:rPr>
          <w:color w:val="000000"/>
        </w:rPr>
        <w:t xml:space="preserve"> it had a </w:t>
      </w:r>
      <w:r w:rsidR="003B7D4B">
        <w:rPr>
          <w:color w:val="000000"/>
        </w:rPr>
        <w:t>Cantin</w:t>
      </w:r>
      <w:r w:rsidR="00A77BBD">
        <w:rPr>
          <w:color w:val="000000"/>
        </w:rPr>
        <w:t>gent claim for contribution against the Madoff estate</w:t>
      </w:r>
      <w:r w:rsidR="006A227C">
        <w:rPr>
          <w:color w:val="000000"/>
        </w:rPr>
        <w:t xml:space="preserve">.  </w:t>
      </w:r>
      <w:r w:rsidR="00FD7892">
        <w:rPr>
          <w:i/>
          <w:iCs/>
          <w:color w:val="000000"/>
        </w:rPr>
        <w:t xml:space="preserve">Id. </w:t>
      </w:r>
      <w:r w:rsidR="00A77BBD">
        <w:rPr>
          <w:color w:val="000000"/>
        </w:rPr>
        <w:t>at 340</w:t>
      </w:r>
      <w:r w:rsidR="006A227C">
        <w:rPr>
          <w:color w:val="000000"/>
        </w:rPr>
        <w:t xml:space="preserve">.  </w:t>
      </w:r>
      <w:r w:rsidR="00A77BBD">
        <w:rPr>
          <w:color w:val="000000"/>
        </w:rPr>
        <w:t>However</w:t>
      </w:r>
      <w:r w:rsidR="008B54D4">
        <w:rPr>
          <w:color w:val="000000"/>
        </w:rPr>
        <w:t>,</w:t>
      </w:r>
      <w:r w:rsidR="00A77BBD">
        <w:rPr>
          <w:color w:val="000000"/>
        </w:rPr>
        <w:t xml:space="preserve"> it had not yet asserted such a claim (it was not yet ripe)</w:t>
      </w:r>
      <w:r w:rsidR="008B54D4">
        <w:rPr>
          <w:color w:val="000000"/>
        </w:rPr>
        <w:t>,</w:t>
      </w:r>
      <w:r w:rsidR="00A77BBD">
        <w:rPr>
          <w:color w:val="000000"/>
        </w:rPr>
        <w:t xml:space="preserve"> and the unwaivable bar date for filing claims against the Madoff estate under the Securities Investor Protection Act (“SIPA”) had already passed</w:t>
      </w:r>
      <w:r w:rsidR="006A227C">
        <w:rPr>
          <w:color w:val="000000"/>
        </w:rPr>
        <w:t xml:space="preserve">.  </w:t>
      </w:r>
      <w:r w:rsidR="00FD7892">
        <w:rPr>
          <w:i/>
          <w:iCs/>
          <w:color w:val="000000"/>
        </w:rPr>
        <w:t>Id.</w:t>
      </w:r>
      <w:r w:rsidR="00D850FE">
        <w:rPr>
          <w:i/>
          <w:iCs/>
          <w:color w:val="000000"/>
        </w:rPr>
        <w:t xml:space="preserve"> </w:t>
      </w:r>
      <w:r w:rsidR="00FD7892">
        <w:rPr>
          <w:i/>
          <w:iCs/>
          <w:color w:val="000000"/>
        </w:rPr>
        <w:t xml:space="preserve"> </w:t>
      </w:r>
      <w:r w:rsidR="00A77BBD">
        <w:rPr>
          <w:color w:val="000000"/>
        </w:rPr>
        <w:t>Moreover</w:t>
      </w:r>
      <w:r w:rsidR="008B54D4">
        <w:rPr>
          <w:color w:val="000000"/>
        </w:rPr>
        <w:t>,</w:t>
      </w:r>
      <w:r w:rsidR="00A77BBD">
        <w:rPr>
          <w:color w:val="000000"/>
        </w:rPr>
        <w:t xml:space="preserve"> there was no realistic possibility that there would be any money available at the end of the day to fund a claim for contribution</w:t>
      </w:r>
      <w:r w:rsidR="006A227C">
        <w:rPr>
          <w:color w:val="000000"/>
        </w:rPr>
        <w:t xml:space="preserve">.  </w:t>
      </w:r>
      <w:r w:rsidR="00FD7892">
        <w:rPr>
          <w:i/>
          <w:iCs/>
          <w:color w:val="000000"/>
        </w:rPr>
        <w:t xml:space="preserve">Id. </w:t>
      </w:r>
      <w:r w:rsidR="00A77BBD">
        <w:rPr>
          <w:color w:val="000000"/>
        </w:rPr>
        <w:t>SPV argued that these facts meant there was no possibility that the outcome of UBS</w:t>
      </w:r>
      <w:r w:rsidR="008B54D4">
        <w:rPr>
          <w:color w:val="000000"/>
        </w:rPr>
        <w:t>’</w:t>
      </w:r>
      <w:r w:rsidR="00A77BBD">
        <w:rPr>
          <w:color w:val="000000"/>
        </w:rPr>
        <w:t xml:space="preserve"> contribution case “might have any conceivable effect” on the </w:t>
      </w:r>
      <w:r w:rsidR="00A77BBD">
        <w:rPr>
          <w:i/>
          <w:iCs/>
          <w:color w:val="000000"/>
        </w:rPr>
        <w:t>res</w:t>
      </w:r>
      <w:r w:rsidR="00A77BBD">
        <w:rPr>
          <w:color w:val="000000"/>
        </w:rPr>
        <w:t xml:space="preserve"> of the Madoff estate</w:t>
      </w:r>
      <w:r w:rsidR="006A227C">
        <w:rPr>
          <w:color w:val="000000"/>
        </w:rPr>
        <w:t xml:space="preserve">.  </w:t>
      </w:r>
      <w:r w:rsidR="00FD7892">
        <w:rPr>
          <w:i/>
          <w:iCs/>
          <w:color w:val="000000"/>
        </w:rPr>
        <w:t>Id.</w:t>
      </w:r>
      <w:r w:rsidR="00D850FE">
        <w:rPr>
          <w:i/>
          <w:iCs/>
          <w:color w:val="000000"/>
        </w:rPr>
        <w:t xml:space="preserve"> </w:t>
      </w:r>
      <w:r w:rsidR="00FD7892">
        <w:rPr>
          <w:i/>
          <w:iCs/>
          <w:color w:val="000000"/>
        </w:rPr>
        <w:t xml:space="preserve"> </w:t>
      </w:r>
      <w:r w:rsidR="00A77BBD">
        <w:rPr>
          <w:color w:val="000000"/>
        </w:rPr>
        <w:t>It is indeed hard to quarrel with that factual analysis.</w:t>
      </w:r>
    </w:p>
    <w:p w14:paraId="28A4B515" w14:textId="0624A3A0" w:rsidR="00A77BBD" w:rsidRDefault="00A77BBD" w:rsidP="00A77BBD">
      <w:pPr>
        <w:pStyle w:val="BodyTextFirstIndent"/>
      </w:pPr>
      <w:r>
        <w:rPr>
          <w:color w:val="000000"/>
        </w:rPr>
        <w:t>But Judge Pooler</w:t>
      </w:r>
      <w:r w:rsidR="008B54D4">
        <w:rPr>
          <w:color w:val="000000"/>
        </w:rPr>
        <w:t>,</w:t>
      </w:r>
      <w:r>
        <w:rPr>
          <w:color w:val="000000"/>
        </w:rPr>
        <w:t xml:space="preserve"> writing for a unanimous panel</w:t>
      </w:r>
      <w:r w:rsidR="008B54D4">
        <w:rPr>
          <w:color w:val="000000"/>
        </w:rPr>
        <w:t>,</w:t>
      </w:r>
      <w:r>
        <w:rPr>
          <w:color w:val="000000"/>
        </w:rPr>
        <w:t xml:space="preserve"> concluded that UBS</w:t>
      </w:r>
      <w:r w:rsidR="008B54D4">
        <w:rPr>
          <w:color w:val="000000"/>
        </w:rPr>
        <w:t>’</w:t>
      </w:r>
      <w:r>
        <w:rPr>
          <w:color w:val="000000"/>
        </w:rPr>
        <w:t xml:space="preserve">s </w:t>
      </w:r>
      <w:r w:rsidR="003B7D4B">
        <w:rPr>
          <w:color w:val="000000"/>
        </w:rPr>
        <w:t>Cantin</w:t>
      </w:r>
      <w:r>
        <w:rPr>
          <w:color w:val="000000"/>
        </w:rPr>
        <w:t>gent claim for joint tortfeasor contribution against the Madoff estate “might” have an effect on the Madoff estate if there were any “reasonable legal basis” for its assertion</w:t>
      </w:r>
      <w:r w:rsidR="006A227C">
        <w:rPr>
          <w:color w:val="000000"/>
        </w:rPr>
        <w:t xml:space="preserve">.  </w:t>
      </w:r>
      <w:r w:rsidR="00FD7892">
        <w:rPr>
          <w:i/>
          <w:iCs/>
          <w:color w:val="000000"/>
        </w:rPr>
        <w:t xml:space="preserve">Id. </w:t>
      </w:r>
      <w:r>
        <w:rPr>
          <w:color w:val="000000"/>
        </w:rPr>
        <w:t>at 340-41 (quotation omitted)</w:t>
      </w:r>
      <w:r w:rsidR="006A227C">
        <w:rPr>
          <w:color w:val="000000"/>
        </w:rPr>
        <w:t xml:space="preserve">.  </w:t>
      </w:r>
      <w:r>
        <w:rPr>
          <w:color w:val="000000"/>
        </w:rPr>
        <w:t>She explained that the broad jurisdictional standard reflects Congress</w:t>
      </w:r>
      <w:r w:rsidR="008B54D4">
        <w:rPr>
          <w:color w:val="000000"/>
        </w:rPr>
        <w:t>’</w:t>
      </w:r>
      <w:r>
        <w:rPr>
          <w:color w:val="000000"/>
        </w:rPr>
        <w:t xml:space="preserve"> intent “</w:t>
      </w:r>
      <w:r w:rsidR="008B54D4">
        <w:rPr>
          <w:color w:val="000000"/>
        </w:rPr>
        <w:t>‘</w:t>
      </w:r>
      <w:r>
        <w:rPr>
          <w:color w:val="000000"/>
        </w:rPr>
        <w:t>to grant comprehensive jurisdiction to the bankruptcy courts so that they might deal efficiently and expeditiously with all matters connected with the bankruptcy estate.</w:t>
      </w:r>
      <w:r w:rsidR="008B54D4">
        <w:rPr>
          <w:color w:val="000000"/>
        </w:rPr>
        <w:t>’</w:t>
      </w:r>
      <w:r>
        <w:rPr>
          <w:color w:val="000000"/>
        </w:rPr>
        <w:t>”</w:t>
      </w:r>
      <w:r w:rsidR="00D850FE">
        <w:rPr>
          <w:color w:val="000000"/>
        </w:rPr>
        <w:t xml:space="preserve"> </w:t>
      </w:r>
      <w:r>
        <w:rPr>
          <w:color w:val="000000"/>
        </w:rPr>
        <w:t xml:space="preserve"> </w:t>
      </w:r>
      <w:r w:rsidR="00FD7892">
        <w:rPr>
          <w:i/>
          <w:iCs/>
          <w:color w:val="000000"/>
        </w:rPr>
        <w:t xml:space="preserve">Id. </w:t>
      </w:r>
      <w:r>
        <w:rPr>
          <w:color w:val="000000"/>
        </w:rPr>
        <w:t xml:space="preserve">at 340 (quoting </w:t>
      </w:r>
      <w:r>
        <w:rPr>
          <w:i/>
          <w:iCs/>
          <w:color w:val="000000"/>
        </w:rPr>
        <w:t>Celotex</w:t>
      </w:r>
      <w:r w:rsidR="008B54D4">
        <w:rPr>
          <w:color w:val="000000"/>
        </w:rPr>
        <w:t>,</w:t>
      </w:r>
      <w:r>
        <w:rPr>
          <w:color w:val="000000"/>
        </w:rPr>
        <w:t xml:space="preserve"> </w:t>
      </w:r>
      <w:hyperlink r:id="rId102" w:history="1">
        <w:r>
          <w:rPr>
            <w:color w:val="000000"/>
          </w:rPr>
          <w:t xml:space="preserve">514 </w:t>
        </w:r>
        <w:r w:rsidR="002F10FB">
          <w:rPr>
            <w:color w:val="000000"/>
          </w:rPr>
          <w:t xml:space="preserve">U.S. </w:t>
        </w:r>
        <w:r>
          <w:rPr>
            <w:color w:val="000000"/>
          </w:rPr>
          <w:t>at 308</w:t>
        </w:r>
      </w:hyperlink>
      <w:r>
        <w:rPr>
          <w:color w:val="000000"/>
        </w:rPr>
        <w:t>)</w:t>
      </w:r>
      <w:r w:rsidR="006A227C">
        <w:rPr>
          <w:color w:val="000000"/>
        </w:rPr>
        <w:t xml:space="preserve">.  </w:t>
      </w:r>
      <w:r>
        <w:rPr>
          <w:color w:val="000000"/>
        </w:rPr>
        <w:t>While recognizing that “</w:t>
      </w:r>
      <w:r w:rsidR="008B54D4">
        <w:rPr>
          <w:color w:val="000000"/>
        </w:rPr>
        <w:t>‘</w:t>
      </w:r>
      <w:r>
        <w:rPr>
          <w:color w:val="000000"/>
        </w:rPr>
        <w:t>related to</w:t>
      </w:r>
      <w:r w:rsidR="008B54D4">
        <w:rPr>
          <w:color w:val="000000"/>
        </w:rPr>
        <w:t>’</w:t>
      </w:r>
      <w:r>
        <w:rPr>
          <w:color w:val="000000"/>
        </w:rPr>
        <w:t xml:space="preserve"> jurisdiction is not </w:t>
      </w:r>
      <w:r w:rsidR="008B54D4">
        <w:rPr>
          <w:color w:val="000000"/>
        </w:rPr>
        <w:t>‘</w:t>
      </w:r>
      <w:r>
        <w:rPr>
          <w:color w:val="000000"/>
        </w:rPr>
        <w:t>limitless</w:t>
      </w:r>
      <w:r w:rsidR="008B54D4">
        <w:rPr>
          <w:color w:val="000000"/>
        </w:rPr>
        <w:t>,’</w:t>
      </w:r>
      <w:r>
        <w:rPr>
          <w:color w:val="000000"/>
        </w:rPr>
        <w:t>” Judge Pooler indicated that “it is fairly capacious</w:t>
      </w:r>
      <w:r w:rsidR="00FA79C1">
        <w:rPr>
          <w:color w:val="000000"/>
        </w:rPr>
        <w:t xml:space="preserve">.”  </w:t>
      </w:r>
      <w:r w:rsidR="00FD7892">
        <w:rPr>
          <w:i/>
          <w:iCs/>
          <w:color w:val="000000"/>
        </w:rPr>
        <w:t xml:space="preserve">Id. </w:t>
      </w:r>
      <w:r>
        <w:rPr>
          <w:color w:val="000000"/>
        </w:rPr>
        <w:t>And she said</w:t>
      </w:r>
      <w:r w:rsidR="008B54D4">
        <w:rPr>
          <w:color w:val="000000"/>
        </w:rPr>
        <w:t>,</w:t>
      </w:r>
      <w:r>
        <w:rPr>
          <w:color w:val="000000"/>
        </w:rPr>
        <w:t xml:space="preserve"> “</w:t>
      </w:r>
      <w:r w:rsidR="008B54D4">
        <w:rPr>
          <w:color w:val="000000"/>
        </w:rPr>
        <w:t>‘</w:t>
      </w:r>
      <w:r>
        <w:rPr>
          <w:color w:val="000000"/>
        </w:rPr>
        <w:t>An action is related to bankruptcy if the outcome could alter the debtor</w:t>
      </w:r>
      <w:r w:rsidR="008B54D4">
        <w:rPr>
          <w:color w:val="000000"/>
        </w:rPr>
        <w:t>’</w:t>
      </w:r>
      <w:r>
        <w:rPr>
          <w:color w:val="000000"/>
        </w:rPr>
        <w:t>s rights</w:t>
      </w:r>
      <w:r w:rsidR="008B54D4">
        <w:rPr>
          <w:color w:val="000000"/>
        </w:rPr>
        <w:t>,</w:t>
      </w:r>
      <w:r>
        <w:rPr>
          <w:color w:val="000000"/>
        </w:rPr>
        <w:t xml:space="preserve"> liabilities</w:t>
      </w:r>
      <w:r w:rsidR="008B54D4">
        <w:rPr>
          <w:color w:val="000000"/>
        </w:rPr>
        <w:t>,</w:t>
      </w:r>
      <w:r>
        <w:rPr>
          <w:color w:val="000000"/>
        </w:rPr>
        <w:t xml:space="preserve"> options</w:t>
      </w:r>
      <w:r w:rsidR="008B54D4">
        <w:rPr>
          <w:color w:val="000000"/>
        </w:rPr>
        <w:t>,</w:t>
      </w:r>
      <w:r>
        <w:rPr>
          <w:color w:val="000000"/>
        </w:rPr>
        <w:t xml:space="preserve"> or freedom of action (either positively or negatively) and which in any way impacts upon the handling and administration of the bankrupt estate.</w:t>
      </w:r>
      <w:r w:rsidR="008B54D4">
        <w:rPr>
          <w:color w:val="000000"/>
        </w:rPr>
        <w:t>’</w:t>
      </w:r>
      <w:r>
        <w:rPr>
          <w:color w:val="000000"/>
        </w:rPr>
        <w:t>”</w:t>
      </w:r>
      <w:r w:rsidR="00D850FE">
        <w:rPr>
          <w:color w:val="000000"/>
        </w:rPr>
        <w:t xml:space="preserve"> </w:t>
      </w:r>
      <w:r>
        <w:rPr>
          <w:color w:val="000000"/>
        </w:rPr>
        <w:t xml:space="preserve"> </w:t>
      </w:r>
      <w:r w:rsidR="00FD7892">
        <w:rPr>
          <w:i/>
          <w:iCs/>
          <w:color w:val="000000"/>
        </w:rPr>
        <w:t xml:space="preserve">Id. </w:t>
      </w:r>
      <w:r>
        <w:rPr>
          <w:color w:val="000000"/>
        </w:rPr>
        <w:t xml:space="preserve">(quoting </w:t>
      </w:r>
      <w:r>
        <w:rPr>
          <w:i/>
          <w:iCs/>
          <w:color w:val="000000"/>
        </w:rPr>
        <w:t>Celotex</w:t>
      </w:r>
      <w:r w:rsidR="008B54D4">
        <w:rPr>
          <w:color w:val="000000"/>
        </w:rPr>
        <w:t>,</w:t>
      </w:r>
      <w:r>
        <w:rPr>
          <w:color w:val="000000"/>
        </w:rPr>
        <w:t xml:space="preserve"> </w:t>
      </w:r>
      <w:hyperlink r:id="rId103" w:history="1">
        <w:r>
          <w:rPr>
            <w:color w:val="000000"/>
          </w:rPr>
          <w:t xml:space="preserve">514 </w:t>
        </w:r>
        <w:r w:rsidR="002F10FB">
          <w:rPr>
            <w:color w:val="000000"/>
          </w:rPr>
          <w:t xml:space="preserve">U.S. </w:t>
        </w:r>
        <w:r>
          <w:rPr>
            <w:color w:val="000000"/>
          </w:rPr>
          <w:t>at 308</w:t>
        </w:r>
      </w:hyperlink>
      <w:r w:rsidR="008B54D4">
        <w:rPr>
          <w:color w:val="000000"/>
        </w:rPr>
        <w:t>,</w:t>
      </w:r>
      <w:r>
        <w:rPr>
          <w:color w:val="000000"/>
        </w:rPr>
        <w:t xml:space="preserve"> n</w:t>
      </w:r>
      <w:r w:rsidR="006A227C">
        <w:rPr>
          <w:color w:val="000000"/>
        </w:rPr>
        <w:t xml:space="preserve">.  </w:t>
      </w:r>
      <w:r>
        <w:rPr>
          <w:color w:val="000000"/>
        </w:rPr>
        <w:t>6).</w:t>
      </w:r>
    </w:p>
    <w:p w14:paraId="51C3AC3D" w14:textId="042E23CF" w:rsidR="00A77BBD" w:rsidRDefault="00A77BBD" w:rsidP="00A77BBD">
      <w:pPr>
        <w:pStyle w:val="BodyTextFirstIndent"/>
      </w:pPr>
      <w:r>
        <w:rPr>
          <w:color w:val="000000"/>
        </w:rPr>
        <w:t>The fact that UBS and the debtor (Madoff) were alleged to be joint tortfeasors - who</w:t>
      </w:r>
      <w:r w:rsidR="008B54D4">
        <w:rPr>
          <w:color w:val="000000"/>
        </w:rPr>
        <w:t>,</w:t>
      </w:r>
      <w:r>
        <w:rPr>
          <w:color w:val="000000"/>
        </w:rPr>
        <w:t xml:space="preserve"> as a matter of state law</w:t>
      </w:r>
      <w:r w:rsidR="008B54D4">
        <w:rPr>
          <w:color w:val="000000"/>
        </w:rPr>
        <w:t>,</w:t>
      </w:r>
      <w:r>
        <w:rPr>
          <w:color w:val="000000"/>
        </w:rPr>
        <w:t xml:space="preserve"> have a right of contribution against one another - provided a “reasonable legal basis” why UBS might someday be able to assert its </w:t>
      </w:r>
      <w:r w:rsidR="003B7D4B">
        <w:rPr>
          <w:color w:val="000000"/>
        </w:rPr>
        <w:t>Cantin</w:t>
      </w:r>
      <w:r>
        <w:rPr>
          <w:color w:val="000000"/>
        </w:rPr>
        <w:t>gent claim</w:t>
      </w:r>
      <w:r w:rsidR="006A227C">
        <w:rPr>
          <w:color w:val="000000"/>
        </w:rPr>
        <w:t xml:space="preserve">.  </w:t>
      </w:r>
      <w:r>
        <w:rPr>
          <w:color w:val="000000"/>
        </w:rPr>
        <w:t>And while Judge Pooler recognized that “</w:t>
      </w:r>
      <w:r w:rsidR="00110F91">
        <w:rPr>
          <w:color w:val="000000"/>
        </w:rPr>
        <w:t xml:space="preserve">. . . </w:t>
      </w:r>
      <w:r>
        <w:rPr>
          <w:color w:val="000000"/>
        </w:rPr>
        <w:t>a payout by the estate to defendants may be improbable</w:t>
      </w:r>
      <w:r w:rsidR="008B54D4">
        <w:rPr>
          <w:color w:val="000000"/>
        </w:rPr>
        <w:t>,</w:t>
      </w:r>
      <w:r>
        <w:rPr>
          <w:color w:val="000000"/>
        </w:rPr>
        <w:t xml:space="preserve"> it is not impossible</w:t>
      </w:r>
      <w:r w:rsidR="00FA79C1">
        <w:rPr>
          <w:color w:val="000000"/>
        </w:rPr>
        <w:t xml:space="preserve">.”  </w:t>
      </w:r>
      <w:r w:rsidR="00FD7892">
        <w:rPr>
          <w:i/>
          <w:iCs/>
          <w:color w:val="000000"/>
        </w:rPr>
        <w:t xml:space="preserve">Id. </w:t>
      </w:r>
      <w:r>
        <w:rPr>
          <w:color w:val="000000"/>
        </w:rPr>
        <w:t>at 342</w:t>
      </w:r>
      <w:r w:rsidR="006A227C">
        <w:rPr>
          <w:color w:val="000000"/>
        </w:rPr>
        <w:t xml:space="preserve">.  </w:t>
      </w:r>
      <w:r>
        <w:rPr>
          <w:color w:val="000000"/>
        </w:rPr>
        <w:t>Since “any claim by defendants potentially alters that distribution of assets among the estates</w:t>
      </w:r>
      <w:r w:rsidR="008B54D4">
        <w:rPr>
          <w:color w:val="000000"/>
        </w:rPr>
        <w:t>’</w:t>
      </w:r>
      <w:r>
        <w:rPr>
          <w:color w:val="000000"/>
        </w:rPr>
        <w:t xml:space="preserve"> creditors</w:t>
      </w:r>
      <w:r w:rsidR="008B54D4">
        <w:rPr>
          <w:color w:val="000000"/>
        </w:rPr>
        <w:t>,</w:t>
      </w:r>
      <w:r>
        <w:rPr>
          <w:color w:val="000000"/>
        </w:rPr>
        <w:t xml:space="preserve">” </w:t>
      </w:r>
      <w:r>
        <w:rPr>
          <w:i/>
          <w:iCs/>
          <w:color w:val="000000"/>
        </w:rPr>
        <w:t>id.</w:t>
      </w:r>
      <w:r w:rsidR="008B54D4">
        <w:rPr>
          <w:color w:val="000000"/>
        </w:rPr>
        <w:t>,</w:t>
      </w:r>
      <w:r>
        <w:rPr>
          <w:color w:val="000000"/>
        </w:rPr>
        <w:t xml:space="preserve"> that was all it took to make the </w:t>
      </w:r>
      <w:r w:rsidR="003B7D4B">
        <w:rPr>
          <w:color w:val="000000"/>
        </w:rPr>
        <w:t>Cantin</w:t>
      </w:r>
      <w:r>
        <w:rPr>
          <w:color w:val="000000"/>
        </w:rPr>
        <w:t>gent claim “conceivably related” to the Madoff bankruptcy.</w:t>
      </w:r>
    </w:p>
    <w:p w14:paraId="5AB3702F" w14:textId="2CBB7C61" w:rsidR="00A77BBD" w:rsidRDefault="00A77BBD" w:rsidP="00A77BBD">
      <w:pPr>
        <w:pStyle w:val="BodyTextFirstIndent"/>
      </w:pPr>
      <w:r>
        <w:rPr>
          <w:color w:val="000000"/>
        </w:rPr>
        <w:t>Finally - and of particular importance for the case at bar - Judge Pooler found that the “high degree of interconnectedness between this action and the Madoff bankruptcies” supported a finding of “related to” jurisdiction</w:t>
      </w:r>
      <w:r w:rsidR="006A227C">
        <w:rPr>
          <w:color w:val="000000"/>
        </w:rPr>
        <w:t xml:space="preserve">.  </w:t>
      </w:r>
      <w:r w:rsidR="00FD7892">
        <w:rPr>
          <w:i/>
          <w:iCs/>
          <w:color w:val="000000"/>
        </w:rPr>
        <w:t xml:space="preserve">Id. </w:t>
      </w:r>
      <w:r>
        <w:rPr>
          <w:color w:val="000000"/>
        </w:rPr>
        <w:t>She explained that</w:t>
      </w:r>
      <w:r w:rsidR="008B54D4">
        <w:rPr>
          <w:color w:val="000000"/>
        </w:rPr>
        <w:t>,</w:t>
      </w:r>
      <w:r>
        <w:rPr>
          <w:color w:val="000000"/>
        </w:rPr>
        <w:t xml:space="preserve"> “SPV can only proceed on [its claims against UBS] if it establishes that the Madoff fraud occurred” and “it is difficult to imagine a scenario wherein SPV would not also sue Madoff and BLMIS</w:t>
      </w:r>
      <w:r w:rsidR="008B54D4">
        <w:rPr>
          <w:color w:val="000000"/>
        </w:rPr>
        <w:t>,</w:t>
      </w:r>
      <w:r>
        <w:rPr>
          <w:color w:val="000000"/>
        </w:rPr>
        <w:t xml:space="preserve"> given that SPV alleges that UBS aided and abetted in their fraud</w:t>
      </w:r>
      <w:r w:rsidR="00FA79C1">
        <w:rPr>
          <w:color w:val="000000"/>
        </w:rPr>
        <w:t xml:space="preserve">.”  </w:t>
      </w:r>
      <w:r>
        <w:rPr>
          <w:i/>
          <w:iCs/>
          <w:color w:val="000000"/>
        </w:rPr>
        <w:t>Id.</w:t>
      </w:r>
    </w:p>
    <w:p w14:paraId="30E3949D" w14:textId="0D8A1C96" w:rsidR="00A77BBD" w:rsidRDefault="00A77BBD" w:rsidP="00A77BBD">
      <w:pPr>
        <w:pStyle w:val="BodyTextFirstIndent"/>
      </w:pPr>
      <w:r>
        <w:rPr>
          <w:color w:val="000000"/>
        </w:rPr>
        <w:t>So in this Circuit</w:t>
      </w:r>
      <w:r w:rsidR="008B54D4">
        <w:rPr>
          <w:color w:val="000000"/>
        </w:rPr>
        <w:t>,</w:t>
      </w:r>
      <w:r>
        <w:rPr>
          <w:color w:val="000000"/>
        </w:rPr>
        <w:t xml:space="preserve"> it is well settled that the only question a court need ask is whether “the action</w:t>
      </w:r>
      <w:r w:rsidR="008B54D4">
        <w:rPr>
          <w:color w:val="000000"/>
        </w:rPr>
        <w:t>’</w:t>
      </w:r>
      <w:r>
        <w:rPr>
          <w:color w:val="000000"/>
        </w:rPr>
        <w:t xml:space="preserve">s outcome </w:t>
      </w:r>
      <w:r>
        <w:rPr>
          <w:i/>
          <w:iCs/>
          <w:color w:val="000000"/>
        </w:rPr>
        <w:t>might have</w:t>
      </w:r>
      <w:r>
        <w:rPr>
          <w:color w:val="000000"/>
        </w:rPr>
        <w:t xml:space="preserve"> any conceivable effect on the bankrupt estate</w:t>
      </w:r>
      <w:r w:rsidR="00FA79C1">
        <w:rPr>
          <w:color w:val="000000"/>
        </w:rPr>
        <w:t xml:space="preserve">.”  </w:t>
      </w:r>
      <w:r w:rsidR="00FD7892">
        <w:rPr>
          <w:i/>
          <w:iCs/>
          <w:color w:val="000000"/>
        </w:rPr>
        <w:t xml:space="preserve">Id. </w:t>
      </w:r>
      <w:r>
        <w:rPr>
          <w:color w:val="000000"/>
        </w:rPr>
        <w:t>(emphasis added)</w:t>
      </w:r>
      <w:r w:rsidR="006A227C">
        <w:rPr>
          <w:color w:val="000000"/>
        </w:rPr>
        <w:t xml:space="preserve">.  </w:t>
      </w:r>
      <w:r>
        <w:rPr>
          <w:color w:val="000000"/>
        </w:rPr>
        <w:t>If the answer to that question is yes</w:t>
      </w:r>
      <w:r w:rsidR="008B54D4">
        <w:rPr>
          <w:color w:val="000000"/>
        </w:rPr>
        <w:t>,</w:t>
      </w:r>
      <w:r>
        <w:rPr>
          <w:color w:val="000000"/>
        </w:rPr>
        <w:t xml:space="preserve"> then related to jurisdiction exists - no matter how implausible it is that the action</w:t>
      </w:r>
      <w:r w:rsidR="008B54D4">
        <w:rPr>
          <w:color w:val="000000"/>
        </w:rPr>
        <w:t>’</w:t>
      </w:r>
      <w:r>
        <w:rPr>
          <w:color w:val="000000"/>
        </w:rPr>
        <w:t>s outcome actually will have an effect on the estate.</w:t>
      </w:r>
    </w:p>
    <w:p w14:paraId="25C92733" w14:textId="7257F3D3" w:rsidR="00A77BBD" w:rsidRDefault="00A77BBD" w:rsidP="00D850FE">
      <w:pPr>
        <w:pStyle w:val="Heading3"/>
      </w:pPr>
      <w:r>
        <w:t>Application of the Law to the Facts</w:t>
      </w:r>
    </w:p>
    <w:p w14:paraId="30F1930A" w14:textId="65ED60E6" w:rsidR="00A77BBD" w:rsidRDefault="00A77BBD" w:rsidP="00A77BBD">
      <w:pPr>
        <w:pStyle w:val="BodyTextFirstIndent"/>
      </w:pPr>
      <w:r>
        <w:rPr>
          <w:color w:val="000000"/>
        </w:rPr>
        <w:t xml:space="preserve">Under the broad standard set forth in </w:t>
      </w:r>
      <w:r>
        <w:rPr>
          <w:i/>
          <w:iCs/>
          <w:color w:val="000000"/>
        </w:rPr>
        <w:t>SPV Osus</w:t>
      </w:r>
      <w:r w:rsidR="008B54D4">
        <w:rPr>
          <w:color w:val="000000"/>
        </w:rPr>
        <w:t>,</w:t>
      </w:r>
      <w:r>
        <w:rPr>
          <w:color w:val="000000"/>
        </w:rPr>
        <w:t xml:space="preserve"> I find that the Bankruptcy Court had “related to” subject matter jurisdiction to approve the release of direct</w:t>
      </w:r>
      <w:r w:rsidR="008B54D4">
        <w:rPr>
          <w:color w:val="000000"/>
        </w:rPr>
        <w:t>,</w:t>
      </w:r>
      <w:r>
        <w:rPr>
          <w:color w:val="000000"/>
        </w:rPr>
        <w:t xml:space="preserve"> non-derivative third-party claims against the </w:t>
      </w:r>
      <w:r w:rsidR="00E82FD6">
        <w:rPr>
          <w:color w:val="000000"/>
        </w:rPr>
        <w:t>Packler</w:t>
      </w:r>
      <w:r>
        <w:rPr>
          <w:color w:val="000000"/>
        </w:rPr>
        <w:t>s</w:t>
      </w:r>
      <w:r w:rsidR="006A227C">
        <w:rPr>
          <w:color w:val="000000"/>
        </w:rPr>
        <w:t xml:space="preserve">.  </w:t>
      </w:r>
      <w:r>
        <w:rPr>
          <w:color w:val="000000"/>
        </w:rPr>
        <w:t xml:space="preserve">There is absolutely no question that the answer to the question of whether the third-party claims </w:t>
      </w:r>
      <w:r>
        <w:rPr>
          <w:i/>
          <w:iCs/>
          <w:color w:val="000000"/>
        </w:rPr>
        <w:t>might have</w:t>
      </w:r>
      <w:r>
        <w:rPr>
          <w:color w:val="000000"/>
        </w:rPr>
        <w:t xml:space="preserve"> any conceivable impact on the res of the debtors</w:t>
      </w:r>
      <w:r w:rsidR="008B54D4">
        <w:rPr>
          <w:color w:val="000000"/>
        </w:rPr>
        <w:t>’</w:t>
      </w:r>
      <w:r>
        <w:rPr>
          <w:color w:val="000000"/>
        </w:rPr>
        <w:t xml:space="preserve"> estate is yes</w:t>
      </w:r>
      <w:r w:rsidR="006A227C">
        <w:rPr>
          <w:color w:val="000000"/>
        </w:rPr>
        <w:t xml:space="preserve">.  </w:t>
      </w:r>
      <w:r>
        <w:rPr>
          <w:color w:val="000000"/>
        </w:rPr>
        <w:t>Moreover</w:t>
      </w:r>
      <w:r w:rsidR="008B54D4">
        <w:rPr>
          <w:color w:val="000000"/>
        </w:rPr>
        <w:t>,</w:t>
      </w:r>
      <w:r>
        <w:rPr>
          <w:color w:val="000000"/>
        </w:rPr>
        <w:t xml:space="preserve"> the intertwining of direct and derivative claims against certain members of the </w:t>
      </w:r>
      <w:r w:rsidR="00E82FD6">
        <w:rPr>
          <w:color w:val="000000"/>
        </w:rPr>
        <w:t>Packler</w:t>
      </w:r>
      <w:r>
        <w:rPr>
          <w:color w:val="000000"/>
        </w:rPr>
        <w:t xml:space="preserve"> family</w:t>
      </w:r>
      <w:r w:rsidR="008B54D4">
        <w:rPr>
          <w:color w:val="000000"/>
        </w:rPr>
        <w:t>,</w:t>
      </w:r>
      <w:r>
        <w:rPr>
          <w:color w:val="000000"/>
        </w:rPr>
        <w:t xml:space="preserve"> as well as the congruence between the only claim that anyone has identified against the other </w:t>
      </w:r>
      <w:r w:rsidR="00E82FD6">
        <w:rPr>
          <w:color w:val="000000"/>
        </w:rPr>
        <w:t>Packler</w:t>
      </w:r>
      <w:r>
        <w:rPr>
          <w:color w:val="000000"/>
        </w:rPr>
        <w:t xml:space="preserve">s and </w:t>
      </w:r>
      <w:r w:rsidR="006239B5">
        <w:rPr>
          <w:color w:val="000000"/>
        </w:rPr>
        <w:t>Oxy</w:t>
      </w:r>
      <w:r w:rsidR="008B54D4">
        <w:rPr>
          <w:color w:val="000000"/>
        </w:rPr>
        <w:t>’</w:t>
      </w:r>
      <w:r>
        <w:rPr>
          <w:color w:val="000000"/>
        </w:rPr>
        <w:t>s own claim for fraudulent conveyance</w:t>
      </w:r>
      <w:r w:rsidR="008B54D4">
        <w:rPr>
          <w:color w:val="000000"/>
        </w:rPr>
        <w:t>,</w:t>
      </w:r>
      <w:r>
        <w:rPr>
          <w:color w:val="000000"/>
        </w:rPr>
        <w:t xml:space="preserve"> justifies the assertion of “related to” jurisdiction under </w:t>
      </w:r>
      <w:r>
        <w:rPr>
          <w:i/>
          <w:iCs/>
          <w:color w:val="000000"/>
        </w:rPr>
        <w:t>SPV Osus</w:t>
      </w:r>
      <w:r w:rsidR="008B54D4">
        <w:rPr>
          <w:color w:val="000000"/>
        </w:rPr>
        <w:t>’</w:t>
      </w:r>
      <w:r>
        <w:rPr>
          <w:color w:val="000000"/>
        </w:rPr>
        <w:t>s “interconnectedness” test.</w:t>
      </w:r>
    </w:p>
    <w:p w14:paraId="3EA2B35C" w14:textId="237B6069" w:rsidR="00A77BBD" w:rsidRDefault="00A77BBD" w:rsidP="00A77BBD">
      <w:pPr>
        <w:pStyle w:val="BodyTextFirstIndent"/>
      </w:pPr>
      <w:r>
        <w:rPr>
          <w:b/>
          <w:bCs/>
          <w:color w:val="000000"/>
          <w:u w:val="single"/>
        </w:rPr>
        <w:t>First</w:t>
      </w:r>
      <w:r w:rsidR="008B54D4">
        <w:rPr>
          <w:b/>
          <w:bCs/>
          <w:color w:val="000000"/>
          <w:u w:val="single"/>
        </w:rPr>
        <w:t>,</w:t>
      </w:r>
      <w:r>
        <w:rPr>
          <w:b/>
          <w:bCs/>
          <w:color w:val="000000"/>
        </w:rPr>
        <w:t xml:space="preserve"> </w:t>
      </w:r>
      <w:r>
        <w:rPr>
          <w:color w:val="000000"/>
        </w:rPr>
        <w:t xml:space="preserve">the non-derivative third-party claims that are being or might be asserted against the </w:t>
      </w:r>
      <w:r w:rsidR="00E82FD6">
        <w:rPr>
          <w:color w:val="000000"/>
        </w:rPr>
        <w:t>Packler</w:t>
      </w:r>
      <w:r>
        <w:rPr>
          <w:color w:val="000000"/>
        </w:rPr>
        <w:t>s are</w:t>
      </w:r>
      <w:r w:rsidR="008B54D4">
        <w:rPr>
          <w:color w:val="000000"/>
        </w:rPr>
        <w:t>,</w:t>
      </w:r>
      <w:r>
        <w:rPr>
          <w:color w:val="000000"/>
        </w:rPr>
        <w:t xml:space="preserve"> as in </w:t>
      </w:r>
      <w:r>
        <w:rPr>
          <w:i/>
          <w:iCs/>
          <w:color w:val="000000"/>
        </w:rPr>
        <w:t>In re Cuyahoga Equipment Corp.</w:t>
      </w:r>
      <w:r w:rsidR="008B54D4">
        <w:rPr>
          <w:color w:val="000000"/>
        </w:rPr>
        <w:t>,</w:t>
      </w:r>
      <w:r>
        <w:rPr>
          <w:color w:val="000000"/>
        </w:rPr>
        <w:t xml:space="preserve"> the type of claims that “bring into question the very distribution of the estate</w:t>
      </w:r>
      <w:r w:rsidR="008B54D4">
        <w:rPr>
          <w:color w:val="000000"/>
        </w:rPr>
        <w:t>’</w:t>
      </w:r>
      <w:r>
        <w:rPr>
          <w:color w:val="000000"/>
        </w:rPr>
        <w:t>s property</w:t>
      </w:r>
      <w:r w:rsidR="00FA79C1">
        <w:rPr>
          <w:color w:val="000000"/>
        </w:rPr>
        <w:t xml:space="preserve">.”  </w:t>
      </w:r>
      <w:hyperlink r:id="rId104" w:history="1">
        <w:r>
          <w:rPr>
            <w:color w:val="000000"/>
          </w:rPr>
          <w:t>980 F.2d at 114</w:t>
        </w:r>
      </w:hyperlink>
      <w:r w:rsidR="006A227C">
        <w:rPr>
          <w:color w:val="000000"/>
        </w:rPr>
        <w:t xml:space="preserve">.  </w:t>
      </w:r>
      <w:r>
        <w:rPr>
          <w:color w:val="000000"/>
        </w:rPr>
        <w:t>As the Debtors pointed out in oral argument</w:t>
      </w:r>
      <w:r w:rsidR="008B54D4">
        <w:rPr>
          <w:color w:val="000000"/>
        </w:rPr>
        <w:t>,</w:t>
      </w:r>
      <w:r>
        <w:rPr>
          <w:color w:val="000000"/>
        </w:rPr>
        <w:t xml:space="preserve"> and as Judge </w:t>
      </w:r>
      <w:r w:rsidR="00E82FD6">
        <w:rPr>
          <w:color w:val="000000"/>
        </w:rPr>
        <w:t>Wains</w:t>
      </w:r>
      <w:r>
        <w:rPr>
          <w:color w:val="000000"/>
        </w:rPr>
        <w:t xml:space="preserve"> recognized in his opinion</w:t>
      </w:r>
      <w:r w:rsidR="008B54D4">
        <w:rPr>
          <w:color w:val="000000"/>
        </w:rPr>
        <w:t>,</w:t>
      </w:r>
      <w:r>
        <w:rPr>
          <w:color w:val="000000"/>
        </w:rPr>
        <w:t xml:space="preserve"> pursuit of the third-party claims threatens to “unravel[] the plan</w:t>
      </w:r>
      <w:r w:rsidR="008B54D4">
        <w:rPr>
          <w:color w:val="000000"/>
        </w:rPr>
        <w:t>’</w:t>
      </w:r>
      <w:r>
        <w:rPr>
          <w:color w:val="000000"/>
        </w:rPr>
        <w:t xml:space="preserve">s intricate settlements” and “recoveries on </w:t>
      </w:r>
      <w:r w:rsidR="00110F91">
        <w:rPr>
          <w:color w:val="000000"/>
        </w:rPr>
        <w:t xml:space="preserve">. . . </w:t>
      </w:r>
      <w:r>
        <w:rPr>
          <w:color w:val="000000"/>
        </w:rPr>
        <w:t xml:space="preserve">judgments” against the </w:t>
      </w:r>
      <w:r w:rsidR="00E82FD6">
        <w:rPr>
          <w:color w:val="000000"/>
        </w:rPr>
        <w:t>Packler</w:t>
      </w:r>
      <w:r>
        <w:rPr>
          <w:color w:val="000000"/>
        </w:rPr>
        <w:t>s would have a “catastrophic effect” on all parties</w:t>
      </w:r>
      <w:r w:rsidR="008B54D4">
        <w:rPr>
          <w:color w:val="000000"/>
        </w:rPr>
        <w:t>’</w:t>
      </w:r>
      <w:r>
        <w:rPr>
          <w:color w:val="000000"/>
        </w:rPr>
        <w:t xml:space="preserve"> possible recovery under the Plan</w:t>
      </w:r>
      <w:r w:rsidR="006A227C">
        <w:rPr>
          <w:color w:val="000000"/>
        </w:rPr>
        <w:t xml:space="preserve">.  </w:t>
      </w:r>
      <w:r>
        <w:rPr>
          <w:i/>
          <w:iCs/>
          <w:color w:val="000000"/>
        </w:rPr>
        <w:t xml:space="preserve">See In re </w:t>
      </w:r>
      <w:r w:rsidR="006239B5">
        <w:rPr>
          <w:i/>
          <w:iCs/>
          <w:color w:val="000000"/>
        </w:rPr>
        <w:t>Oxy</w:t>
      </w:r>
      <w:r>
        <w:rPr>
          <w:i/>
          <w:iCs/>
          <w:color w:val="000000"/>
        </w:rPr>
        <w:t xml:space="preserve"> Pharma L.P.</w:t>
      </w:r>
      <w:r w:rsidR="008B54D4">
        <w:rPr>
          <w:color w:val="000000"/>
        </w:rPr>
        <w:t>,</w:t>
      </w:r>
      <w:r>
        <w:rPr>
          <w:color w:val="000000"/>
        </w:rPr>
        <w:t xml:space="preserve"> </w:t>
      </w:r>
      <w:hyperlink r:id="rId105" w:history="1">
        <w:r>
          <w:rPr>
            <w:color w:val="000000"/>
          </w:rPr>
          <w:t>2021 WL 4240974</w:t>
        </w:r>
      </w:hyperlink>
      <w:r w:rsidR="008B54D4">
        <w:rPr>
          <w:color w:val="000000"/>
        </w:rPr>
        <w:t>,</w:t>
      </w:r>
      <w:r>
        <w:rPr>
          <w:color w:val="000000"/>
        </w:rPr>
        <w:t xml:space="preserve"> at *33; (Oral Arg</w:t>
      </w:r>
      <w:r w:rsidR="006A227C">
        <w:rPr>
          <w:color w:val="000000"/>
        </w:rPr>
        <w:t xml:space="preserve">. </w:t>
      </w:r>
      <w:r>
        <w:rPr>
          <w:color w:val="000000"/>
        </w:rPr>
        <w:t>Tr.</w:t>
      </w:r>
      <w:r w:rsidR="008B54D4">
        <w:rPr>
          <w:color w:val="000000"/>
        </w:rPr>
        <w:t>,</w:t>
      </w:r>
      <w:r>
        <w:rPr>
          <w:color w:val="000000"/>
        </w:rPr>
        <w:t xml:space="preserve"> </w:t>
      </w:r>
      <w:r w:rsidR="00013BBA">
        <w:rPr>
          <w:color w:val="000000"/>
        </w:rPr>
        <w:t xml:space="preserve">Nov. </w:t>
      </w:r>
      <w:r>
        <w:rPr>
          <w:color w:val="000000"/>
        </w:rPr>
        <w:t>30</w:t>
      </w:r>
      <w:r w:rsidR="008B54D4">
        <w:rPr>
          <w:color w:val="000000"/>
        </w:rPr>
        <w:t>,</w:t>
      </w:r>
      <w:r>
        <w:rPr>
          <w:color w:val="000000"/>
        </w:rPr>
        <w:t xml:space="preserve"> 2021</w:t>
      </w:r>
      <w:r w:rsidR="008B54D4">
        <w:rPr>
          <w:color w:val="000000"/>
        </w:rPr>
        <w:t>,</w:t>
      </w:r>
      <w:r>
        <w:rPr>
          <w:color w:val="000000"/>
        </w:rPr>
        <w:t xml:space="preserve"> at 124:14- 16 (“</w:t>
      </w:r>
      <w:r w:rsidR="0073548B">
        <w:rPr>
          <w:color w:val="000000"/>
        </w:rPr>
        <w:t>co</w:t>
      </w:r>
      <w:r w:rsidR="003B7D4B">
        <w:rPr>
          <w:color w:val="000000"/>
        </w:rPr>
        <w:t>ntin</w:t>
      </w:r>
      <w:r>
        <w:rPr>
          <w:color w:val="000000"/>
        </w:rPr>
        <w:t xml:space="preserve">ued litigation against the </w:t>
      </w:r>
      <w:r w:rsidR="00E82FD6">
        <w:rPr>
          <w:color w:val="000000"/>
        </w:rPr>
        <w:t>Packler</w:t>
      </w:r>
      <w:r>
        <w:rPr>
          <w:color w:val="000000"/>
        </w:rPr>
        <w:t>s destroys all of the interlocking intercreditor settlements enshrined in the plan.”)).</w:t>
      </w:r>
    </w:p>
    <w:p w14:paraId="02C7AA44" w14:textId="69B1B994" w:rsidR="00A77BBD" w:rsidRDefault="00A77BBD" w:rsidP="00A77BBD">
      <w:pPr>
        <w:pStyle w:val="BodyTextFirstIndent"/>
      </w:pPr>
      <w:r>
        <w:rPr>
          <w:b/>
          <w:bCs/>
          <w:color w:val="000000"/>
          <w:u w:val="single"/>
        </w:rPr>
        <w:t>Second</w:t>
      </w:r>
      <w:r w:rsidR="008B54D4">
        <w:rPr>
          <w:b/>
          <w:bCs/>
          <w:color w:val="000000"/>
          <w:u w:val="single"/>
        </w:rPr>
        <w:t>,</w:t>
      </w:r>
      <w:r>
        <w:rPr>
          <w:b/>
          <w:bCs/>
          <w:color w:val="000000"/>
        </w:rPr>
        <w:t xml:space="preserve"> </w:t>
      </w:r>
      <w:r>
        <w:rPr>
          <w:color w:val="000000"/>
        </w:rPr>
        <w:t xml:space="preserve">as in </w:t>
      </w:r>
      <w:r>
        <w:rPr>
          <w:i/>
          <w:iCs/>
          <w:color w:val="000000"/>
        </w:rPr>
        <w:t>SPV Osus</w:t>
      </w:r>
      <w:r w:rsidR="008B54D4" w:rsidRPr="000F32DE">
        <w:rPr>
          <w:color w:val="000000"/>
        </w:rPr>
        <w:t>,</w:t>
      </w:r>
      <w:r>
        <w:rPr>
          <w:color w:val="000000"/>
        </w:rPr>
        <w:t xml:space="preserve"> the claims raised against the </w:t>
      </w:r>
      <w:r w:rsidR="00E82FD6">
        <w:rPr>
          <w:color w:val="000000"/>
        </w:rPr>
        <w:t>Packler</w:t>
      </w:r>
      <w:r>
        <w:rPr>
          <w:color w:val="000000"/>
        </w:rPr>
        <w:t>s might have a conceivable impact on the estate</w:t>
      </w:r>
      <w:r w:rsidR="008B54D4">
        <w:rPr>
          <w:color w:val="000000"/>
        </w:rPr>
        <w:t>,</w:t>
      </w:r>
      <w:r>
        <w:rPr>
          <w:color w:val="000000"/>
        </w:rPr>
        <w:t xml:space="preserve"> in that they threaten to alter “the liabilities of the estate” and “change” “the amount available for distribution to other creditors</w:t>
      </w:r>
      <w:r w:rsidR="00FA79C1">
        <w:rPr>
          <w:color w:val="000000"/>
        </w:rPr>
        <w:t xml:space="preserve">.”  </w:t>
      </w:r>
      <w:r>
        <w:rPr>
          <w:i/>
          <w:iCs/>
          <w:color w:val="000000"/>
        </w:rPr>
        <w:t>SPV Osus</w:t>
      </w:r>
      <w:r w:rsidR="008B54D4">
        <w:rPr>
          <w:color w:val="000000"/>
        </w:rPr>
        <w:t>,</w:t>
      </w:r>
      <w:r>
        <w:rPr>
          <w:color w:val="000000"/>
        </w:rPr>
        <w:t xml:space="preserve"> </w:t>
      </w:r>
      <w:hyperlink r:id="rId106" w:history="1">
        <w:r>
          <w:rPr>
            <w:color w:val="000000"/>
          </w:rPr>
          <w:t>882 F.3d 341</w:t>
        </w:r>
      </w:hyperlink>
      <w:r w:rsidR="006A227C">
        <w:rPr>
          <w:color w:val="000000"/>
        </w:rPr>
        <w:t xml:space="preserve">.  </w:t>
      </w:r>
      <w:r>
        <w:rPr>
          <w:color w:val="000000"/>
        </w:rPr>
        <w:t>This “is sufficient to find that litigation among non-debtors is related to the bankruptcy proceeding</w:t>
      </w:r>
      <w:r w:rsidR="00FA79C1">
        <w:rPr>
          <w:color w:val="000000"/>
        </w:rPr>
        <w:t xml:space="preserve">.”  </w:t>
      </w:r>
      <w:r>
        <w:rPr>
          <w:i/>
          <w:iCs/>
          <w:color w:val="000000"/>
        </w:rPr>
        <w:t>Id.</w:t>
      </w:r>
    </w:p>
    <w:p w14:paraId="40DB9E03" w14:textId="055FA177" w:rsidR="00A77BBD" w:rsidRDefault="00A77BBD" w:rsidP="00A77BBD">
      <w:pPr>
        <w:pStyle w:val="BodyTextFirstIndent"/>
      </w:pPr>
      <w:r>
        <w:rPr>
          <w:color w:val="000000"/>
        </w:rPr>
        <w:t>Here</w:t>
      </w:r>
      <w:r w:rsidR="008B54D4">
        <w:rPr>
          <w:color w:val="000000"/>
        </w:rPr>
        <w:t>,</w:t>
      </w:r>
      <w:r>
        <w:rPr>
          <w:color w:val="000000"/>
        </w:rPr>
        <w:t xml:space="preserve"> the non-derivative litigation against the </w:t>
      </w:r>
      <w:r w:rsidR="00E82FD6">
        <w:rPr>
          <w:color w:val="000000"/>
        </w:rPr>
        <w:t>Packler</w:t>
      </w:r>
      <w:r>
        <w:rPr>
          <w:color w:val="000000"/>
        </w:rPr>
        <w:t xml:space="preserve">s </w:t>
      </w:r>
      <w:r>
        <w:rPr>
          <w:i/>
          <w:iCs/>
          <w:color w:val="000000"/>
        </w:rPr>
        <w:t>might</w:t>
      </w:r>
      <w:r>
        <w:rPr>
          <w:color w:val="000000"/>
        </w:rPr>
        <w:t xml:space="preserve"> alter the liabilities and change the amount available for distribution</w:t>
      </w:r>
      <w:r w:rsidR="006A227C">
        <w:rPr>
          <w:color w:val="000000"/>
        </w:rPr>
        <w:t xml:space="preserve">.  </w:t>
      </w:r>
      <w:r>
        <w:rPr>
          <w:color w:val="000000"/>
        </w:rPr>
        <w:t>If</w:t>
      </w:r>
      <w:r w:rsidR="008B54D4">
        <w:rPr>
          <w:color w:val="000000"/>
        </w:rPr>
        <w:t>,</w:t>
      </w:r>
      <w:r>
        <w:rPr>
          <w:color w:val="000000"/>
        </w:rPr>
        <w:t xml:space="preserve"> for example</w:t>
      </w:r>
      <w:r w:rsidR="008B54D4">
        <w:rPr>
          <w:color w:val="000000"/>
        </w:rPr>
        <w:t>,</w:t>
      </w:r>
      <w:r>
        <w:rPr>
          <w:color w:val="000000"/>
        </w:rPr>
        <w:t xml:space="preserve"> the Appell</w:t>
      </w:r>
      <w:r w:rsidR="0073548B">
        <w:rPr>
          <w:color w:val="000000"/>
        </w:rPr>
        <w:t xml:space="preserve">ees </w:t>
      </w:r>
      <w:r>
        <w:rPr>
          <w:color w:val="000000"/>
        </w:rPr>
        <w:t xml:space="preserve">were successful in their related claims against the </w:t>
      </w:r>
      <w:r w:rsidR="00E82FD6">
        <w:rPr>
          <w:color w:val="000000"/>
        </w:rPr>
        <w:t>Packler</w:t>
      </w:r>
      <w:r>
        <w:rPr>
          <w:color w:val="000000"/>
        </w:rPr>
        <w:t>s</w:t>
      </w:r>
      <w:r w:rsidR="008B54D4">
        <w:rPr>
          <w:color w:val="000000"/>
        </w:rPr>
        <w:t>,</w:t>
      </w:r>
      <w:r>
        <w:rPr>
          <w:color w:val="000000"/>
        </w:rPr>
        <w:t xml:space="preserve"> the findings could alter</w:t>
      </w:r>
      <w:r w:rsidR="008B54D4">
        <w:rPr>
          <w:color w:val="000000"/>
        </w:rPr>
        <w:t>,</w:t>
      </w:r>
      <w:r>
        <w:rPr>
          <w:color w:val="000000"/>
        </w:rPr>
        <w:t xml:space="preserve"> or even determine</w:t>
      </w:r>
      <w:r w:rsidR="008B54D4">
        <w:rPr>
          <w:color w:val="000000"/>
        </w:rPr>
        <w:t>,</w:t>
      </w:r>
      <w:r>
        <w:rPr>
          <w:color w:val="000000"/>
        </w:rPr>
        <w:t xml:space="preserve"> </w:t>
      </w:r>
      <w:r w:rsidR="006239B5">
        <w:rPr>
          <w:color w:val="000000"/>
        </w:rPr>
        <w:t>Oxy</w:t>
      </w:r>
      <w:r w:rsidR="008B54D4">
        <w:rPr>
          <w:color w:val="000000"/>
        </w:rPr>
        <w:t>’</w:t>
      </w:r>
      <w:r>
        <w:rPr>
          <w:color w:val="000000"/>
        </w:rPr>
        <w:t>s own liability on similar claims</w:t>
      </w:r>
      <w:r w:rsidR="008B54D4">
        <w:rPr>
          <w:color w:val="000000"/>
        </w:rPr>
        <w:t>,</w:t>
      </w:r>
      <w:r>
        <w:rPr>
          <w:color w:val="000000"/>
        </w:rPr>
        <w:t xml:space="preserve"> as well as the amount owed to Appell</w:t>
      </w:r>
      <w:r w:rsidR="0073548B">
        <w:rPr>
          <w:color w:val="000000"/>
        </w:rPr>
        <w:t>ees</w:t>
      </w:r>
      <w:r>
        <w:rPr>
          <w:color w:val="000000"/>
        </w:rPr>
        <w:t xml:space="preserve"> as creditors</w:t>
      </w:r>
      <w:r w:rsidR="006A227C">
        <w:rPr>
          <w:color w:val="000000"/>
        </w:rPr>
        <w:t xml:space="preserve">.  </w:t>
      </w:r>
      <w:r>
        <w:rPr>
          <w:color w:val="000000"/>
        </w:rPr>
        <w:t>Further</w:t>
      </w:r>
      <w:r w:rsidR="008B54D4">
        <w:rPr>
          <w:color w:val="000000"/>
        </w:rPr>
        <w:t>,</w:t>
      </w:r>
      <w:r>
        <w:rPr>
          <w:color w:val="000000"/>
        </w:rPr>
        <w:t xml:space="preserve"> as the Debtors explained at oral argument</w:t>
      </w:r>
      <w:r w:rsidR="008B54D4">
        <w:rPr>
          <w:color w:val="000000"/>
        </w:rPr>
        <w:t>,</w:t>
      </w:r>
      <w:r>
        <w:rPr>
          <w:color w:val="000000"/>
        </w:rPr>
        <w:t xml:space="preserve"> there also is the threat that the Appell</w:t>
      </w:r>
      <w:r w:rsidR="0073548B">
        <w:rPr>
          <w:color w:val="000000"/>
        </w:rPr>
        <w:t>ee</w:t>
      </w:r>
      <w:r>
        <w:rPr>
          <w:color w:val="000000"/>
        </w:rPr>
        <w:t>s</w:t>
      </w:r>
      <w:r w:rsidR="008B54D4">
        <w:rPr>
          <w:color w:val="000000"/>
        </w:rPr>
        <w:t>’</w:t>
      </w:r>
      <w:r>
        <w:rPr>
          <w:color w:val="000000"/>
        </w:rPr>
        <w:t xml:space="preserve"> claims could affect “the debtors</w:t>
      </w:r>
      <w:r w:rsidR="008B54D4">
        <w:rPr>
          <w:color w:val="000000"/>
        </w:rPr>
        <w:t>’</w:t>
      </w:r>
      <w:r>
        <w:rPr>
          <w:color w:val="000000"/>
        </w:rPr>
        <w:t xml:space="preserve"> ability to pursue the estate</w:t>
      </w:r>
      <w:r w:rsidR="008B54D4">
        <w:rPr>
          <w:color w:val="000000"/>
        </w:rPr>
        <w:t>’</w:t>
      </w:r>
      <w:r>
        <w:rPr>
          <w:color w:val="000000"/>
        </w:rPr>
        <w:t>s own closely related</w:t>
      </w:r>
      <w:r w:rsidR="008B54D4">
        <w:rPr>
          <w:color w:val="000000"/>
        </w:rPr>
        <w:t>,</w:t>
      </w:r>
      <w:r>
        <w:rPr>
          <w:color w:val="000000"/>
        </w:rPr>
        <w:t xml:space="preserve"> indeed</w:t>
      </w:r>
      <w:r w:rsidR="008B54D4">
        <w:rPr>
          <w:color w:val="000000"/>
        </w:rPr>
        <w:t>,</w:t>
      </w:r>
      <w:r>
        <w:rPr>
          <w:color w:val="000000"/>
        </w:rPr>
        <w:t xml:space="preserve"> fundamentally overlapping claims against the </w:t>
      </w:r>
      <w:r w:rsidR="00E82FD6">
        <w:rPr>
          <w:color w:val="000000"/>
        </w:rPr>
        <w:t>Packler</w:t>
      </w:r>
      <w:r>
        <w:rPr>
          <w:color w:val="000000"/>
        </w:rPr>
        <w:t>s”; this is so because</w:t>
      </w:r>
      <w:r w:rsidR="008B54D4">
        <w:rPr>
          <w:color w:val="000000"/>
        </w:rPr>
        <w:t>,</w:t>
      </w:r>
      <w:r>
        <w:rPr>
          <w:color w:val="000000"/>
        </w:rPr>
        <w:t xml:space="preserve"> if the related third-party claims were litigated poorly</w:t>
      </w:r>
      <w:r w:rsidR="008B54D4">
        <w:rPr>
          <w:color w:val="000000"/>
        </w:rPr>
        <w:t>,</w:t>
      </w:r>
      <w:r>
        <w:rPr>
          <w:color w:val="000000"/>
        </w:rPr>
        <w:t xml:space="preserve"> the </w:t>
      </w:r>
      <w:r w:rsidR="00417667">
        <w:rPr>
          <w:color w:val="000000"/>
        </w:rPr>
        <w:t>D</w:t>
      </w:r>
      <w:r>
        <w:rPr>
          <w:color w:val="000000"/>
        </w:rPr>
        <w:t>ebtors</w:t>
      </w:r>
      <w:r w:rsidR="00417667">
        <w:rPr>
          <w:color w:val="000000"/>
        </w:rPr>
        <w:t>’</w:t>
      </w:r>
      <w:r>
        <w:rPr>
          <w:color w:val="000000"/>
        </w:rPr>
        <w:t xml:space="preserve"> estate</w:t>
      </w:r>
      <w:r w:rsidR="0000767A">
        <w:rPr>
          <w:color w:val="000000"/>
        </w:rPr>
        <w:t>s</w:t>
      </w:r>
      <w:r>
        <w:rPr>
          <w:color w:val="000000"/>
        </w:rPr>
        <w:t xml:space="preserve"> might be less likely to recover on its own claims against the </w:t>
      </w:r>
      <w:r w:rsidR="00E82FD6">
        <w:rPr>
          <w:color w:val="000000"/>
        </w:rPr>
        <w:t>Packler</w:t>
      </w:r>
      <w:r>
        <w:rPr>
          <w:color w:val="000000"/>
        </w:rPr>
        <w:t>s</w:t>
      </w:r>
      <w:r w:rsidR="008B54D4">
        <w:rPr>
          <w:color w:val="000000"/>
        </w:rPr>
        <w:t>,</w:t>
      </w:r>
      <w:r>
        <w:rPr>
          <w:color w:val="000000"/>
        </w:rPr>
        <w:t xml:space="preserve"> which are worth billions</w:t>
      </w:r>
      <w:r w:rsidR="006A227C">
        <w:rPr>
          <w:color w:val="000000"/>
        </w:rPr>
        <w:t xml:space="preserve">.  </w:t>
      </w:r>
    </w:p>
    <w:p w14:paraId="4449B27B" w14:textId="3A030921" w:rsidR="00A77BBD" w:rsidRDefault="00A77BBD" w:rsidP="00A77BBD">
      <w:pPr>
        <w:pStyle w:val="BodyTextFirstIndent"/>
      </w:pPr>
      <w:r>
        <w:rPr>
          <w:color w:val="000000"/>
        </w:rPr>
        <w:t xml:space="preserve">Judge </w:t>
      </w:r>
      <w:r w:rsidR="00E82FD6">
        <w:rPr>
          <w:color w:val="000000"/>
        </w:rPr>
        <w:t>Wains</w:t>
      </w:r>
      <w:r>
        <w:rPr>
          <w:color w:val="000000"/>
        </w:rPr>
        <w:t xml:space="preserve"> pointed out the conceivable effect that the potential alteration of liabilities and ultimate amounts owed creditors and the estate would have on the </w:t>
      </w:r>
      <w:r>
        <w:rPr>
          <w:i/>
          <w:iCs/>
          <w:color w:val="000000"/>
        </w:rPr>
        <w:t>res</w:t>
      </w:r>
      <w:r>
        <w:rPr>
          <w:color w:val="000000"/>
        </w:rPr>
        <w:t xml:space="preserve"> in his opinion</w:t>
      </w:r>
      <w:r w:rsidR="006A227C">
        <w:rPr>
          <w:color w:val="000000"/>
        </w:rPr>
        <w:t xml:space="preserve">.  </w:t>
      </w:r>
      <w:r>
        <w:rPr>
          <w:i/>
          <w:iCs/>
          <w:color w:val="000000"/>
        </w:rPr>
        <w:t xml:space="preserve">See In re </w:t>
      </w:r>
      <w:r w:rsidR="006239B5">
        <w:rPr>
          <w:i/>
          <w:iCs/>
          <w:color w:val="000000"/>
        </w:rPr>
        <w:t>Oxy</w:t>
      </w:r>
      <w:r>
        <w:rPr>
          <w:i/>
          <w:iCs/>
          <w:color w:val="000000"/>
        </w:rPr>
        <w:t xml:space="preserve"> Pharma L.P.</w:t>
      </w:r>
      <w:r w:rsidR="008B54D4">
        <w:rPr>
          <w:color w:val="000000"/>
        </w:rPr>
        <w:t>,</w:t>
      </w:r>
      <w:r>
        <w:rPr>
          <w:color w:val="000000"/>
        </w:rPr>
        <w:t xml:space="preserve"> </w:t>
      </w:r>
      <w:hyperlink r:id="rId107" w:history="1">
        <w:r>
          <w:rPr>
            <w:color w:val="000000"/>
          </w:rPr>
          <w:t>2021 WL 4240974</w:t>
        </w:r>
      </w:hyperlink>
      <w:r w:rsidR="008B54D4">
        <w:rPr>
          <w:color w:val="000000"/>
        </w:rPr>
        <w:t>,</w:t>
      </w:r>
      <w:r>
        <w:rPr>
          <w:color w:val="000000"/>
        </w:rPr>
        <w:t xml:space="preserve"> at *37</w:t>
      </w:r>
      <w:r w:rsidR="006A227C">
        <w:rPr>
          <w:color w:val="000000"/>
        </w:rPr>
        <w:t xml:space="preserve">.  </w:t>
      </w:r>
      <w:r w:rsidR="00417667">
        <w:rPr>
          <w:color w:val="000000"/>
        </w:rPr>
        <w:t xml:space="preserve">We </w:t>
      </w:r>
      <w:r>
        <w:rPr>
          <w:color w:val="000000"/>
        </w:rPr>
        <w:t>agree that these potential effects support a finding of “related to” jurisdiction.</w:t>
      </w:r>
    </w:p>
    <w:p w14:paraId="5A50FDE9" w14:textId="141D3A17" w:rsidR="00A77BBD" w:rsidRDefault="00A77BBD" w:rsidP="00A77BBD">
      <w:pPr>
        <w:pStyle w:val="BodyTextFirstIndent"/>
      </w:pPr>
      <w:r>
        <w:rPr>
          <w:b/>
          <w:bCs/>
          <w:color w:val="000000"/>
          <w:u w:val="single"/>
        </w:rPr>
        <w:t>Third</w:t>
      </w:r>
      <w:r w:rsidR="008B54D4">
        <w:rPr>
          <w:b/>
          <w:bCs/>
          <w:color w:val="000000"/>
        </w:rPr>
        <w:t>,</w:t>
      </w:r>
      <w:r>
        <w:rPr>
          <w:b/>
          <w:bCs/>
          <w:color w:val="000000"/>
        </w:rPr>
        <w:t xml:space="preserve"> </w:t>
      </w:r>
      <w:r>
        <w:rPr>
          <w:color w:val="000000"/>
        </w:rPr>
        <w:t xml:space="preserve">as in </w:t>
      </w:r>
      <w:r>
        <w:rPr>
          <w:i/>
          <w:iCs/>
          <w:color w:val="000000"/>
        </w:rPr>
        <w:t>SPV Osus</w:t>
      </w:r>
      <w:r w:rsidR="008B54D4">
        <w:rPr>
          <w:color w:val="000000"/>
        </w:rPr>
        <w:t>,</w:t>
      </w:r>
      <w:r>
        <w:rPr>
          <w:color w:val="000000"/>
        </w:rPr>
        <w:t xml:space="preserve"> all the claims in this case have a high degree of interconnectedness with the lawsuits against the </w:t>
      </w:r>
      <w:r w:rsidR="00417667">
        <w:rPr>
          <w:color w:val="000000"/>
        </w:rPr>
        <w:t>D</w:t>
      </w:r>
      <w:r>
        <w:rPr>
          <w:color w:val="000000"/>
        </w:rPr>
        <w:t xml:space="preserve">ebtors and against the </w:t>
      </w:r>
      <w:r w:rsidR="00E82FD6">
        <w:rPr>
          <w:color w:val="000000"/>
        </w:rPr>
        <w:t>Packler</w:t>
      </w:r>
      <w:r>
        <w:rPr>
          <w:color w:val="000000"/>
        </w:rPr>
        <w:t>s - especially those members of the family who can be sued derivatively as well as directly.</w:t>
      </w:r>
    </w:p>
    <w:p w14:paraId="78FC471C" w14:textId="7086508C" w:rsidR="00A77BBD" w:rsidRDefault="00A77BBD" w:rsidP="00A77BBD">
      <w:pPr>
        <w:pStyle w:val="BodyTextFirstIndent"/>
      </w:pPr>
      <w:r>
        <w:rPr>
          <w:color w:val="000000"/>
        </w:rPr>
        <w:t xml:space="preserve">As the </w:t>
      </w:r>
      <w:r>
        <w:rPr>
          <w:i/>
          <w:iCs/>
          <w:color w:val="000000"/>
        </w:rPr>
        <w:t>SPV Osus</w:t>
      </w:r>
      <w:r>
        <w:rPr>
          <w:color w:val="000000"/>
        </w:rPr>
        <w:t xml:space="preserve"> Court explained</w:t>
      </w:r>
      <w:r w:rsidR="008B54D4">
        <w:rPr>
          <w:color w:val="000000"/>
        </w:rPr>
        <w:t>,</w:t>
      </w:r>
      <w:r>
        <w:rPr>
          <w:color w:val="000000"/>
        </w:rPr>
        <w:t xml:space="preserve"> “</w:t>
      </w:r>
      <w:r w:rsidR="008B54D4">
        <w:rPr>
          <w:color w:val="000000"/>
        </w:rPr>
        <w:t>‘</w:t>
      </w:r>
      <w:r>
        <w:rPr>
          <w:color w:val="000000"/>
        </w:rPr>
        <w:t>The existence of strong interconnections between the third-party action and the bankruptcy has been cited frequently by courts in concluding that the third-party litigation is related to the bankruptcy proceeding.</w:t>
      </w:r>
      <w:r w:rsidR="008B54D4">
        <w:rPr>
          <w:color w:val="000000"/>
        </w:rPr>
        <w:t>’</w:t>
      </w:r>
      <w:r>
        <w:rPr>
          <w:color w:val="000000"/>
        </w:rPr>
        <w:t xml:space="preserve">” </w:t>
      </w:r>
      <w:r>
        <w:rPr>
          <w:i/>
          <w:iCs/>
          <w:color w:val="000000"/>
        </w:rPr>
        <w:t>SPV OSUS</w:t>
      </w:r>
      <w:r w:rsidR="008B54D4">
        <w:rPr>
          <w:color w:val="000000"/>
        </w:rPr>
        <w:t>,</w:t>
      </w:r>
      <w:r>
        <w:rPr>
          <w:color w:val="000000"/>
        </w:rPr>
        <w:t xml:space="preserve"> </w:t>
      </w:r>
      <w:hyperlink r:id="rId108" w:history="1">
        <w:r>
          <w:rPr>
            <w:color w:val="000000"/>
          </w:rPr>
          <w:t>882 F.3d at 342</w:t>
        </w:r>
      </w:hyperlink>
      <w:r>
        <w:rPr>
          <w:color w:val="000000"/>
        </w:rPr>
        <w:t xml:space="preserve"> (quoting </w:t>
      </w:r>
      <w:r>
        <w:rPr>
          <w:i/>
          <w:iCs/>
          <w:color w:val="000000"/>
        </w:rPr>
        <w:t>In re WorldCom</w:t>
      </w:r>
      <w:r w:rsidR="008B54D4">
        <w:rPr>
          <w:i/>
          <w:iCs/>
          <w:color w:val="000000"/>
        </w:rPr>
        <w:t>,</w:t>
      </w:r>
      <w:r>
        <w:rPr>
          <w:i/>
          <w:iCs/>
          <w:color w:val="000000"/>
        </w:rPr>
        <w:t xml:space="preserve"> Inc</w:t>
      </w:r>
      <w:r w:rsidR="006A227C">
        <w:rPr>
          <w:i/>
          <w:iCs/>
          <w:color w:val="000000"/>
        </w:rPr>
        <w:t xml:space="preserve">. </w:t>
      </w:r>
      <w:r>
        <w:rPr>
          <w:i/>
          <w:iCs/>
          <w:color w:val="000000"/>
        </w:rPr>
        <w:t>Sec</w:t>
      </w:r>
      <w:r w:rsidR="006A227C">
        <w:rPr>
          <w:i/>
          <w:iCs/>
          <w:color w:val="000000"/>
        </w:rPr>
        <w:t xml:space="preserve">. </w:t>
      </w:r>
      <w:r>
        <w:rPr>
          <w:i/>
          <w:iCs/>
          <w:color w:val="000000"/>
        </w:rPr>
        <w:t>Litig.</w:t>
      </w:r>
      <w:r w:rsidR="008B54D4">
        <w:rPr>
          <w:color w:val="000000"/>
        </w:rPr>
        <w:t>,</w:t>
      </w:r>
      <w:r>
        <w:rPr>
          <w:color w:val="000000"/>
        </w:rPr>
        <w:t xml:space="preserve"> </w:t>
      </w:r>
      <w:hyperlink r:id="rId109" w:history="1">
        <w:r>
          <w:rPr>
            <w:color w:val="000000"/>
          </w:rPr>
          <w:t xml:space="preserve">293 </w:t>
        </w:r>
        <w:r w:rsidR="00755A0D">
          <w:rPr>
            <w:color w:val="000000"/>
          </w:rPr>
          <w:t xml:space="preserve">B.R. </w:t>
        </w:r>
        <w:r>
          <w:rPr>
            <w:color w:val="000000"/>
          </w:rPr>
          <w:t>308</w:t>
        </w:r>
        <w:r w:rsidR="008B54D4">
          <w:rPr>
            <w:color w:val="000000"/>
          </w:rPr>
          <w:t>,</w:t>
        </w:r>
        <w:r>
          <w:rPr>
            <w:color w:val="000000"/>
          </w:rPr>
          <w:t xml:space="preserve"> 321 </w:t>
        </w:r>
      </w:hyperlink>
      <w:r>
        <w:rPr>
          <w:color w:val="000000"/>
        </w:rPr>
        <w:t>(S.D.N.Y</w:t>
      </w:r>
      <w:r w:rsidR="006A227C">
        <w:rPr>
          <w:color w:val="000000"/>
        </w:rPr>
        <w:t xml:space="preserve">. </w:t>
      </w:r>
      <w:r>
        <w:rPr>
          <w:color w:val="000000"/>
        </w:rPr>
        <w:t>2003))</w:t>
      </w:r>
      <w:r w:rsidR="006A227C">
        <w:rPr>
          <w:color w:val="000000"/>
        </w:rPr>
        <w:t xml:space="preserve">.  </w:t>
      </w:r>
      <w:r>
        <w:rPr>
          <w:color w:val="000000"/>
        </w:rPr>
        <w:t>Here</w:t>
      </w:r>
      <w:r w:rsidR="008B54D4">
        <w:rPr>
          <w:color w:val="000000"/>
        </w:rPr>
        <w:t>,</w:t>
      </w:r>
      <w:r>
        <w:rPr>
          <w:color w:val="000000"/>
        </w:rPr>
        <w:t xml:space="preserve"> the Section</w:t>
      </w:r>
      <w:r w:rsidR="000F32DE">
        <w:rPr>
          <w:color w:val="000000"/>
        </w:rPr>
        <w:t xml:space="preserve"> </w:t>
      </w:r>
      <w:r>
        <w:rPr>
          <w:color w:val="000000"/>
        </w:rPr>
        <w:t>10.7</w:t>
      </w:r>
      <w:r>
        <w:rPr>
          <w:color w:val="000000"/>
        </w:rPr>
        <w:tab/>
        <w:t>Shareholder Release only extends to those claims where the “debtor</w:t>
      </w:r>
      <w:r w:rsidR="008B54D4">
        <w:rPr>
          <w:color w:val="000000"/>
        </w:rPr>
        <w:t>’</w:t>
      </w:r>
      <w:r>
        <w:rPr>
          <w:color w:val="000000"/>
        </w:rPr>
        <w:t>s conduct or the claims asserted against it [are] a legal cause or a legally relevant factor</w:t>
      </w:r>
      <w:r w:rsidR="00FA79C1">
        <w:rPr>
          <w:color w:val="000000"/>
        </w:rPr>
        <w:t xml:space="preserve">.”  </w:t>
      </w:r>
      <w:r w:rsidR="0000767A">
        <w:rPr>
          <w:i/>
          <w:iCs/>
          <w:color w:val="000000"/>
        </w:rPr>
        <w:br/>
        <w:t>S</w:t>
      </w:r>
      <w:r>
        <w:rPr>
          <w:i/>
          <w:iCs/>
          <w:color w:val="000000"/>
        </w:rPr>
        <w:t xml:space="preserve">ee In re </w:t>
      </w:r>
      <w:r w:rsidR="006239B5">
        <w:rPr>
          <w:i/>
          <w:iCs/>
          <w:color w:val="000000"/>
        </w:rPr>
        <w:t>Oxy</w:t>
      </w:r>
      <w:r>
        <w:rPr>
          <w:i/>
          <w:iCs/>
          <w:color w:val="000000"/>
        </w:rPr>
        <w:t xml:space="preserve"> Pharma L.P.</w:t>
      </w:r>
      <w:r w:rsidR="008B54D4">
        <w:rPr>
          <w:color w:val="000000"/>
        </w:rPr>
        <w:t>,</w:t>
      </w:r>
      <w:r>
        <w:rPr>
          <w:color w:val="000000"/>
        </w:rPr>
        <w:t xml:space="preserve"> </w:t>
      </w:r>
      <w:hyperlink r:id="rId110" w:history="1">
        <w:r>
          <w:rPr>
            <w:color w:val="000000"/>
          </w:rPr>
          <w:t>2021 WL 4240974</w:t>
        </w:r>
      </w:hyperlink>
      <w:r w:rsidR="008B54D4">
        <w:rPr>
          <w:color w:val="000000"/>
        </w:rPr>
        <w:t>,</w:t>
      </w:r>
      <w:r>
        <w:rPr>
          <w:color w:val="000000"/>
        </w:rPr>
        <w:t xml:space="preserve"> at *45; Plan</w:t>
      </w:r>
      <w:r w:rsidR="008B54D4">
        <w:rPr>
          <w:color w:val="000000"/>
        </w:rPr>
        <w:t>,</w:t>
      </w:r>
      <w:r>
        <w:rPr>
          <w:color w:val="000000"/>
        </w:rPr>
        <w:t xml:space="preserve"> at § 10.7(b))</w:t>
      </w:r>
      <w:r w:rsidR="006A227C">
        <w:rPr>
          <w:color w:val="000000"/>
        </w:rPr>
        <w:t xml:space="preserve">.  </w:t>
      </w:r>
      <w:r>
        <w:rPr>
          <w:color w:val="000000"/>
        </w:rPr>
        <w:t xml:space="preserve">This limitation alone supports a conclusion that any claim that could fall within the scope of the release would necessarily have a high degree of interconnectedness with the </w:t>
      </w:r>
      <w:r w:rsidR="00417667">
        <w:rPr>
          <w:color w:val="000000"/>
        </w:rPr>
        <w:t>D</w:t>
      </w:r>
      <w:r>
        <w:rPr>
          <w:color w:val="000000"/>
        </w:rPr>
        <w:t>ebtors</w:t>
      </w:r>
      <w:r w:rsidR="00417667">
        <w:rPr>
          <w:color w:val="000000"/>
        </w:rPr>
        <w:t>’</w:t>
      </w:r>
      <w:r>
        <w:rPr>
          <w:color w:val="000000"/>
        </w:rPr>
        <w:t xml:space="preserve"> conduct.</w:t>
      </w:r>
    </w:p>
    <w:p w14:paraId="2203FF04" w14:textId="33147F09" w:rsidR="00A77BBD" w:rsidRDefault="00A77BBD" w:rsidP="00A77BBD">
      <w:pPr>
        <w:pStyle w:val="BodyTextFirstIndent"/>
      </w:pPr>
      <w:r>
        <w:rPr>
          <w:color w:val="000000"/>
        </w:rPr>
        <w:t>Looking at the claims of the Appell</w:t>
      </w:r>
      <w:r w:rsidR="00417667">
        <w:rPr>
          <w:color w:val="000000"/>
        </w:rPr>
        <w:t>ees</w:t>
      </w:r>
      <w:r>
        <w:rPr>
          <w:color w:val="000000"/>
        </w:rPr>
        <w:t xml:space="preserve"> themselves</w:t>
      </w:r>
      <w:r w:rsidR="008B54D4">
        <w:rPr>
          <w:color w:val="000000"/>
        </w:rPr>
        <w:t>,</w:t>
      </w:r>
      <w:r>
        <w:rPr>
          <w:color w:val="000000"/>
        </w:rPr>
        <w:t xml:space="preserve"> the interconnectedness of the claims against the </w:t>
      </w:r>
      <w:r w:rsidR="00E82FD6">
        <w:rPr>
          <w:color w:val="000000"/>
        </w:rPr>
        <w:t>Packler</w:t>
      </w:r>
      <w:r>
        <w:rPr>
          <w:color w:val="000000"/>
        </w:rPr>
        <w:t>s with those against the Debtors is patent</w:t>
      </w:r>
      <w:r w:rsidR="00251EF3">
        <w:rPr>
          <w:color w:val="000000"/>
        </w:rPr>
        <w:t>.</w:t>
      </w:r>
      <w:r w:rsidR="006A227C">
        <w:rPr>
          <w:color w:val="000000"/>
        </w:rPr>
        <w:t xml:space="preserve"> </w:t>
      </w:r>
      <w:r>
        <w:rPr>
          <w:color w:val="000000"/>
        </w:rPr>
        <w:t>In fact</w:t>
      </w:r>
      <w:r w:rsidR="008B54D4">
        <w:rPr>
          <w:color w:val="000000"/>
        </w:rPr>
        <w:t>,</w:t>
      </w:r>
      <w:r>
        <w:rPr>
          <w:color w:val="000000"/>
        </w:rPr>
        <w:t xml:space="preserve"> the direct and derivative claims against the “insider” or “managerial” </w:t>
      </w:r>
      <w:r w:rsidR="00E82FD6">
        <w:rPr>
          <w:color w:val="000000"/>
        </w:rPr>
        <w:t>Packler</w:t>
      </w:r>
      <w:r>
        <w:rPr>
          <w:color w:val="000000"/>
        </w:rPr>
        <w:t>s are essentially congruent</w:t>
      </w:r>
      <w:r w:rsidR="006A227C">
        <w:rPr>
          <w:color w:val="000000"/>
        </w:rPr>
        <w:t xml:space="preserve">.  </w:t>
      </w:r>
      <w:r>
        <w:rPr>
          <w:color w:val="000000"/>
        </w:rPr>
        <w:t>The Appell</w:t>
      </w:r>
      <w:r w:rsidR="00417667">
        <w:rPr>
          <w:color w:val="000000"/>
        </w:rPr>
        <w:t>ee</w:t>
      </w:r>
      <w:r>
        <w:rPr>
          <w:color w:val="000000"/>
        </w:rPr>
        <w:t xml:space="preserve">s have asserted claims in multiple instances against both </w:t>
      </w:r>
      <w:r w:rsidR="006239B5">
        <w:rPr>
          <w:color w:val="000000"/>
        </w:rPr>
        <w:t>Oxy</w:t>
      </w:r>
      <w:r>
        <w:rPr>
          <w:color w:val="000000"/>
        </w:rPr>
        <w:t xml:space="preserve"> and the </w:t>
      </w:r>
      <w:r w:rsidR="00E82FD6">
        <w:rPr>
          <w:color w:val="000000"/>
        </w:rPr>
        <w:t>Packler</w:t>
      </w:r>
      <w:r>
        <w:rPr>
          <w:color w:val="000000"/>
        </w:rPr>
        <w:t>s</w:t>
      </w:r>
      <w:r w:rsidR="008B54D4">
        <w:rPr>
          <w:color w:val="000000"/>
        </w:rPr>
        <w:t>,</w:t>
      </w:r>
      <w:r>
        <w:rPr>
          <w:color w:val="000000"/>
        </w:rPr>
        <w:t xml:space="preserve"> and in every case they rely on detailed and virtually identical sets of facts to make the claims</w:t>
      </w:r>
      <w:r w:rsidR="006A227C">
        <w:rPr>
          <w:color w:val="000000"/>
        </w:rPr>
        <w:t xml:space="preserve">.  </w:t>
      </w:r>
      <w:r>
        <w:rPr>
          <w:color w:val="000000"/>
        </w:rPr>
        <w:t>Because various state statutes authorize the assertion of direct claims against certain managerial personnel of a corporation who can be held independently liable for the same conduct that subjects the corporation to liability (and them to liability to the corporation for faithless service in their corporate roles)</w:t>
      </w:r>
      <w:r w:rsidR="008B54D4">
        <w:rPr>
          <w:color w:val="000000"/>
        </w:rPr>
        <w:t>,</w:t>
      </w:r>
      <w:r>
        <w:rPr>
          <w:color w:val="000000"/>
        </w:rPr>
        <w:t xml:space="preserve"> a determination in one of the Appell</w:t>
      </w:r>
      <w:r w:rsidR="00417667">
        <w:rPr>
          <w:color w:val="000000"/>
        </w:rPr>
        <w:t>ees</w:t>
      </w:r>
      <w:r w:rsidR="0000767A">
        <w:rPr>
          <w:color w:val="000000"/>
        </w:rPr>
        <w:t>’</w:t>
      </w:r>
      <w:r>
        <w:rPr>
          <w:color w:val="000000"/>
        </w:rPr>
        <w:t xml:space="preserve"> cases would likely have preclusive impact on a case alleging derivative liability against the same people - a case over which the Bankruptcy Court has undoubted jurisdiction</w:t>
      </w:r>
      <w:r w:rsidR="006A227C">
        <w:rPr>
          <w:color w:val="000000"/>
        </w:rPr>
        <w:t xml:space="preserve">.  </w:t>
      </w:r>
      <w:r>
        <w:rPr>
          <w:color w:val="000000"/>
        </w:rPr>
        <w:t>As the Debtor pointed out at oral argument</w:t>
      </w:r>
      <w:r w:rsidR="008B54D4">
        <w:rPr>
          <w:color w:val="000000"/>
        </w:rPr>
        <w:t>,</w:t>
      </w:r>
      <w:r>
        <w:rPr>
          <w:color w:val="000000"/>
        </w:rPr>
        <w:t xml:space="preserve"> there is an obvious inconsistency in bringing “lawsuits against the </w:t>
      </w:r>
      <w:r w:rsidR="00E82FD6">
        <w:rPr>
          <w:color w:val="000000"/>
        </w:rPr>
        <w:t>Packler</w:t>
      </w:r>
      <w:r>
        <w:rPr>
          <w:color w:val="000000"/>
        </w:rPr>
        <w:t xml:space="preserve">[s] alleging that they controlled </w:t>
      </w:r>
      <w:r w:rsidR="006239B5">
        <w:rPr>
          <w:color w:val="000000"/>
        </w:rPr>
        <w:t>Oxy</w:t>
      </w:r>
      <w:r w:rsidR="008B54D4">
        <w:rPr>
          <w:color w:val="000000"/>
        </w:rPr>
        <w:t>,</w:t>
      </w:r>
      <w:r>
        <w:rPr>
          <w:color w:val="000000"/>
        </w:rPr>
        <w:t xml:space="preserve"> and that </w:t>
      </w:r>
      <w:r w:rsidR="006239B5">
        <w:rPr>
          <w:color w:val="000000"/>
        </w:rPr>
        <w:t>Oxy</w:t>
      </w:r>
      <w:r>
        <w:rPr>
          <w:color w:val="000000"/>
        </w:rPr>
        <w:t xml:space="preserve"> did terrible things</w:t>
      </w:r>
      <w:r w:rsidR="008B54D4">
        <w:rPr>
          <w:color w:val="000000"/>
        </w:rPr>
        <w:t>,</w:t>
      </w:r>
      <w:r>
        <w:rPr>
          <w:color w:val="000000"/>
        </w:rPr>
        <w:t xml:space="preserve"> and 500</w:t>
      </w:r>
      <w:r w:rsidR="008B54D4">
        <w:rPr>
          <w:color w:val="000000"/>
        </w:rPr>
        <w:t>,</w:t>
      </w:r>
      <w:r>
        <w:rPr>
          <w:color w:val="000000"/>
        </w:rPr>
        <w:t>000 people</w:t>
      </w:r>
      <w:r w:rsidR="008B54D4">
        <w:rPr>
          <w:color w:val="000000"/>
        </w:rPr>
        <w:t>’</w:t>
      </w:r>
      <w:r>
        <w:rPr>
          <w:color w:val="000000"/>
        </w:rPr>
        <w:t xml:space="preserve">s lives were maybe snuffed out by </w:t>
      </w:r>
      <w:r w:rsidR="006239B5">
        <w:rPr>
          <w:color w:val="000000"/>
        </w:rPr>
        <w:t>Oxy</w:t>
      </w:r>
      <w:r w:rsidR="008B54D4">
        <w:rPr>
          <w:color w:val="000000"/>
        </w:rPr>
        <w:t>’</w:t>
      </w:r>
      <w:r>
        <w:rPr>
          <w:color w:val="000000"/>
        </w:rPr>
        <w:t>s conduct” yet arguing that those suits “will [not] affect the debtors in any conceivable way</w:t>
      </w:r>
      <w:r w:rsidR="00FA79C1">
        <w:rPr>
          <w:color w:val="000000"/>
        </w:rPr>
        <w:t xml:space="preserve">.”  </w:t>
      </w:r>
      <w:r>
        <w:rPr>
          <w:color w:val="000000"/>
        </w:rPr>
        <w:t xml:space="preserve">The acts of the </w:t>
      </w:r>
      <w:r w:rsidR="00E82FD6">
        <w:rPr>
          <w:color w:val="000000"/>
        </w:rPr>
        <w:t>Packler</w:t>
      </w:r>
      <w:r>
        <w:rPr>
          <w:color w:val="000000"/>
        </w:rPr>
        <w:t>s that could form the basis of any released claim “are deeply connected with</w:t>
      </w:r>
      <w:r w:rsidR="008B54D4">
        <w:rPr>
          <w:color w:val="000000"/>
        </w:rPr>
        <w:t>,</w:t>
      </w:r>
      <w:r>
        <w:rPr>
          <w:color w:val="000000"/>
        </w:rPr>
        <w:t xml:space="preserve"> if not entirely identical to</w:t>
      </w:r>
      <w:r w:rsidR="008B54D4">
        <w:rPr>
          <w:color w:val="000000"/>
        </w:rPr>
        <w:t>,</w:t>
      </w:r>
      <w:r>
        <w:rPr>
          <w:color w:val="000000"/>
        </w:rPr>
        <w:t xml:space="preserve"> </w:t>
      </w:r>
      <w:r w:rsidR="006239B5">
        <w:rPr>
          <w:color w:val="000000"/>
        </w:rPr>
        <w:t>Oxy</w:t>
      </w:r>
      <w:r w:rsidR="008B54D4">
        <w:rPr>
          <w:color w:val="000000"/>
        </w:rPr>
        <w:t>’</w:t>
      </w:r>
      <w:r>
        <w:rPr>
          <w:color w:val="000000"/>
        </w:rPr>
        <w:t>s alleged misconduct</w:t>
      </w:r>
      <w:r w:rsidR="00FA79C1">
        <w:rPr>
          <w:color w:val="000000"/>
        </w:rPr>
        <w:t xml:space="preserve">.”  </w:t>
      </w:r>
    </w:p>
    <w:p w14:paraId="0E5AFB95" w14:textId="21374E08" w:rsidR="00A77BBD" w:rsidRDefault="00A77BBD" w:rsidP="00A77BBD">
      <w:pPr>
        <w:pStyle w:val="BodyTextFirstIndent"/>
      </w:pPr>
      <w:r>
        <w:rPr>
          <w:color w:val="000000"/>
        </w:rPr>
        <w:t>In so holding</w:t>
      </w:r>
      <w:r w:rsidR="008B54D4">
        <w:rPr>
          <w:color w:val="000000"/>
        </w:rPr>
        <w:t>,</w:t>
      </w:r>
      <w:r>
        <w:rPr>
          <w:color w:val="000000"/>
        </w:rPr>
        <w:t xml:space="preserve"> </w:t>
      </w:r>
      <w:r w:rsidR="00417667">
        <w:rPr>
          <w:color w:val="000000"/>
        </w:rPr>
        <w:t xml:space="preserve">we </w:t>
      </w:r>
      <w:r>
        <w:rPr>
          <w:color w:val="000000"/>
        </w:rPr>
        <w:t xml:space="preserve">acknowledge that in </w:t>
      </w:r>
      <w:r>
        <w:rPr>
          <w:i/>
          <w:iCs/>
          <w:color w:val="000000"/>
        </w:rPr>
        <w:t>In re Johns-Manville Corp</w:t>
      </w:r>
      <w:r>
        <w:rPr>
          <w:color w:val="000000"/>
        </w:rPr>
        <w:t>.</w:t>
      </w:r>
      <w:r w:rsidR="008B54D4">
        <w:rPr>
          <w:color w:val="000000"/>
        </w:rPr>
        <w:t>,</w:t>
      </w:r>
      <w:hyperlink r:id="rId111" w:history="1">
        <w:r>
          <w:rPr>
            <w:color w:val="000000"/>
          </w:rPr>
          <w:t xml:space="preserve"> 517 F.3d 52 </w:t>
        </w:r>
      </w:hyperlink>
      <w:r>
        <w:rPr>
          <w:color w:val="000000"/>
        </w:rPr>
        <w:t xml:space="preserve">(2d </w:t>
      </w:r>
      <w:r w:rsidR="00E97455">
        <w:rPr>
          <w:color w:val="000000"/>
        </w:rPr>
        <w:t xml:space="preserve">Cir. </w:t>
      </w:r>
      <w:r>
        <w:rPr>
          <w:color w:val="000000"/>
        </w:rPr>
        <w:t>2008) (“</w:t>
      </w:r>
      <w:r>
        <w:rPr>
          <w:i/>
          <w:iCs/>
          <w:color w:val="000000"/>
        </w:rPr>
        <w:t>Manville III</w:t>
      </w:r>
      <w:r>
        <w:rPr>
          <w:color w:val="000000"/>
        </w:rPr>
        <w:t>”)</w:t>
      </w:r>
      <w:r w:rsidR="008B54D4">
        <w:rPr>
          <w:color w:val="000000"/>
        </w:rPr>
        <w:t>,</w:t>
      </w:r>
      <w:r>
        <w:rPr>
          <w:color w:val="000000"/>
        </w:rPr>
        <w:t xml:space="preserve"> </w:t>
      </w:r>
      <w:r>
        <w:rPr>
          <w:i/>
          <w:iCs/>
          <w:color w:val="000000"/>
        </w:rPr>
        <w:t>rev</w:t>
      </w:r>
      <w:r w:rsidR="008B54D4">
        <w:rPr>
          <w:i/>
          <w:iCs/>
          <w:color w:val="000000"/>
        </w:rPr>
        <w:t>’</w:t>
      </w:r>
      <w:r>
        <w:rPr>
          <w:i/>
          <w:iCs/>
          <w:color w:val="000000"/>
        </w:rPr>
        <w:t>d and remanded on other grounds sub nom</w:t>
      </w:r>
      <w:r w:rsidR="006A227C">
        <w:rPr>
          <w:i/>
          <w:iCs/>
          <w:color w:val="000000"/>
        </w:rPr>
        <w:t xml:space="preserve">. </w:t>
      </w:r>
      <w:r>
        <w:rPr>
          <w:i/>
          <w:iCs/>
          <w:color w:val="000000"/>
        </w:rPr>
        <w:t>Travelers Indem</w:t>
      </w:r>
      <w:r w:rsidR="006A227C">
        <w:rPr>
          <w:i/>
          <w:iCs/>
          <w:color w:val="000000"/>
        </w:rPr>
        <w:t xml:space="preserve">. </w:t>
      </w:r>
      <w:r>
        <w:rPr>
          <w:i/>
          <w:iCs/>
          <w:color w:val="000000"/>
        </w:rPr>
        <w:t>Co</w:t>
      </w:r>
      <w:r w:rsidR="006A227C">
        <w:rPr>
          <w:i/>
          <w:iCs/>
          <w:color w:val="000000"/>
        </w:rPr>
        <w:t>.</w:t>
      </w:r>
      <w:r w:rsidR="00E150C1">
        <w:rPr>
          <w:i/>
          <w:iCs/>
          <w:color w:val="000000"/>
        </w:rPr>
        <w:t xml:space="preserve"> v. </w:t>
      </w:r>
      <w:r>
        <w:rPr>
          <w:i/>
          <w:iCs/>
          <w:color w:val="000000"/>
        </w:rPr>
        <w:t>Bailey</w:t>
      </w:r>
      <w:r w:rsidR="008B54D4">
        <w:rPr>
          <w:color w:val="000000"/>
        </w:rPr>
        <w:t>,</w:t>
      </w:r>
      <w:r>
        <w:rPr>
          <w:color w:val="000000"/>
        </w:rPr>
        <w:t xml:space="preserve"> </w:t>
      </w:r>
      <w:hyperlink r:id="rId112" w:history="1">
        <w:r>
          <w:rPr>
            <w:color w:val="000000"/>
          </w:rPr>
          <w:t xml:space="preserve">557 </w:t>
        </w:r>
        <w:r w:rsidR="002F10FB">
          <w:rPr>
            <w:color w:val="000000"/>
          </w:rPr>
          <w:t xml:space="preserve">U.S. </w:t>
        </w:r>
        <w:r>
          <w:rPr>
            <w:color w:val="000000"/>
          </w:rPr>
          <w:t xml:space="preserve">137 </w:t>
        </w:r>
      </w:hyperlink>
      <w:r>
        <w:rPr>
          <w:color w:val="000000"/>
        </w:rPr>
        <w:t xml:space="preserve">(2009) and </w:t>
      </w:r>
      <w:r>
        <w:rPr>
          <w:i/>
          <w:iCs/>
          <w:color w:val="000000"/>
        </w:rPr>
        <w:t>In re Johns-Manville Corporation</w:t>
      </w:r>
      <w:r w:rsidR="00E150C1">
        <w:rPr>
          <w:i/>
          <w:iCs/>
          <w:color w:val="000000"/>
        </w:rPr>
        <w:t xml:space="preserve"> v. </w:t>
      </w:r>
      <w:r>
        <w:rPr>
          <w:i/>
          <w:iCs/>
          <w:color w:val="000000"/>
        </w:rPr>
        <w:t>Chubb Insurance</w:t>
      </w:r>
      <w:r w:rsidR="008B54D4">
        <w:rPr>
          <w:color w:val="000000"/>
        </w:rPr>
        <w:t>,</w:t>
      </w:r>
      <w:hyperlink r:id="rId113" w:history="1">
        <w:r>
          <w:rPr>
            <w:color w:val="000000"/>
          </w:rPr>
          <w:t xml:space="preserve"> 600 F</w:t>
        </w:r>
        <w:r w:rsidR="006A227C">
          <w:rPr>
            <w:color w:val="000000"/>
          </w:rPr>
          <w:t>.</w:t>
        </w:r>
        <w:r>
          <w:rPr>
            <w:color w:val="000000"/>
          </w:rPr>
          <w:t xml:space="preserve">3d 135 </w:t>
        </w:r>
      </w:hyperlink>
      <w:r>
        <w:rPr>
          <w:color w:val="000000"/>
        </w:rPr>
        <w:t xml:space="preserve">(2d </w:t>
      </w:r>
      <w:r w:rsidR="00E97455">
        <w:rPr>
          <w:color w:val="000000"/>
        </w:rPr>
        <w:t xml:space="preserve">Cir. </w:t>
      </w:r>
      <w:r>
        <w:rPr>
          <w:color w:val="000000"/>
        </w:rPr>
        <w:t>2010) (“</w:t>
      </w:r>
      <w:r>
        <w:rPr>
          <w:i/>
          <w:iCs/>
          <w:color w:val="000000"/>
        </w:rPr>
        <w:t>Manville IV</w:t>
      </w:r>
      <w:r>
        <w:rPr>
          <w:color w:val="000000"/>
        </w:rPr>
        <w:t>”)</w:t>
      </w:r>
      <w:r w:rsidR="008B54D4">
        <w:rPr>
          <w:color w:val="000000"/>
        </w:rPr>
        <w:t>,</w:t>
      </w:r>
      <w:r>
        <w:rPr>
          <w:color w:val="000000"/>
        </w:rPr>
        <w:t xml:space="preserve"> th</w:t>
      </w:r>
      <w:r w:rsidR="00417667">
        <w:rPr>
          <w:color w:val="000000"/>
        </w:rPr>
        <w:t xml:space="preserve">is </w:t>
      </w:r>
      <w:r>
        <w:rPr>
          <w:color w:val="000000"/>
        </w:rPr>
        <w:t>Circuit said that the existence of shared facts between claims against the debtor and claims against the non-debtor arising out of an independent legal duty that was owed by the non-debtor to a third party was not sufficient to confer “related to” subject matter jurisdiction over the claims against the non-debtors</w:t>
      </w:r>
      <w:r w:rsidR="006A227C">
        <w:rPr>
          <w:color w:val="000000"/>
        </w:rPr>
        <w:t xml:space="preserve">.  </w:t>
      </w:r>
      <w:r>
        <w:rPr>
          <w:i/>
          <w:iCs/>
          <w:color w:val="000000"/>
        </w:rPr>
        <w:t>Manville III</w:t>
      </w:r>
      <w:r w:rsidR="008B54D4">
        <w:rPr>
          <w:color w:val="000000"/>
        </w:rPr>
        <w:t>,</w:t>
      </w:r>
      <w:hyperlink r:id="rId114" w:history="1">
        <w:r>
          <w:rPr>
            <w:color w:val="000000"/>
          </w:rPr>
          <w:t xml:space="preserve"> 517 F.3d at 64</w:t>
        </w:r>
      </w:hyperlink>
      <w:hyperlink r:id="rId115" w:history="1">
        <w:r>
          <w:rPr>
            <w:color w:val="000000"/>
          </w:rPr>
          <w:t>65</w:t>
        </w:r>
      </w:hyperlink>
      <w:r w:rsidR="006A227C">
        <w:rPr>
          <w:color w:val="000000"/>
        </w:rPr>
        <w:t xml:space="preserve">.  </w:t>
      </w:r>
      <w:r>
        <w:rPr>
          <w:color w:val="000000"/>
        </w:rPr>
        <w:t>As a result</w:t>
      </w:r>
      <w:r w:rsidR="008B54D4">
        <w:rPr>
          <w:color w:val="000000"/>
        </w:rPr>
        <w:t>,</w:t>
      </w:r>
      <w:r>
        <w:rPr>
          <w:color w:val="000000"/>
        </w:rPr>
        <w:t xml:space="preserve"> the Court of Appeals held that the bankruptcy court lacked jurisdiction to enjoin the prosecution of claims asserted by third parties against Travelers</w:t>
      </w:r>
      <w:r w:rsidR="008B54D4">
        <w:rPr>
          <w:color w:val="000000"/>
        </w:rPr>
        <w:t>,</w:t>
      </w:r>
      <w:r>
        <w:rPr>
          <w:color w:val="000000"/>
        </w:rPr>
        <w:t xml:space="preserve"> Manville</w:t>
      </w:r>
      <w:r w:rsidR="008B54D4">
        <w:rPr>
          <w:color w:val="000000"/>
        </w:rPr>
        <w:t>’</w:t>
      </w:r>
      <w:r>
        <w:rPr>
          <w:color w:val="000000"/>
        </w:rPr>
        <w:t>s erstwhile insurer</w:t>
      </w:r>
      <w:r w:rsidR="008B54D4">
        <w:rPr>
          <w:color w:val="000000"/>
        </w:rPr>
        <w:t>,</w:t>
      </w:r>
      <w:r>
        <w:rPr>
          <w:color w:val="000000"/>
        </w:rPr>
        <w:t xml:space="preserve"> that arose out of Travelers</w:t>
      </w:r>
      <w:r w:rsidR="008B54D4">
        <w:rPr>
          <w:color w:val="000000"/>
        </w:rPr>
        <w:t>’</w:t>
      </w:r>
      <w:r>
        <w:rPr>
          <w:color w:val="000000"/>
        </w:rPr>
        <w:t xml:space="preserve"> alleged failure to alert those third parties to the harmful properties of asbestos</w:t>
      </w:r>
      <w:r w:rsidR="008B54D4">
        <w:rPr>
          <w:color w:val="000000"/>
        </w:rPr>
        <w:t>,</w:t>
      </w:r>
      <w:r>
        <w:rPr>
          <w:color w:val="000000"/>
        </w:rPr>
        <w:t xml:space="preserve"> about which Travelers had allegedly learned during its long relationship with Manville</w:t>
      </w:r>
      <w:r w:rsidR="006A227C">
        <w:rPr>
          <w:color w:val="000000"/>
        </w:rPr>
        <w:t xml:space="preserve">.  </w:t>
      </w:r>
      <w:r w:rsidR="00FD7892">
        <w:rPr>
          <w:i/>
          <w:iCs/>
          <w:color w:val="000000"/>
        </w:rPr>
        <w:t xml:space="preserve">Id. </w:t>
      </w:r>
      <w:r>
        <w:rPr>
          <w:color w:val="000000"/>
        </w:rPr>
        <w:t>at 65</w:t>
      </w:r>
      <w:r w:rsidR="006A227C">
        <w:rPr>
          <w:color w:val="000000"/>
        </w:rPr>
        <w:t xml:space="preserve">.  </w:t>
      </w:r>
      <w:r>
        <w:rPr>
          <w:color w:val="000000"/>
        </w:rPr>
        <w:t>However</w:t>
      </w:r>
      <w:r w:rsidR="008B54D4">
        <w:rPr>
          <w:color w:val="000000"/>
        </w:rPr>
        <w:t>,</w:t>
      </w:r>
      <w:r>
        <w:rPr>
          <w:color w:val="000000"/>
        </w:rPr>
        <w:t xml:space="preserve"> while there was a substantial factual overlap between defective product claims against Manville and the failure to disclose claims asserted against its insurer Travelers that were discussed in </w:t>
      </w:r>
      <w:r>
        <w:rPr>
          <w:i/>
          <w:iCs/>
          <w:color w:val="000000"/>
        </w:rPr>
        <w:t>Manville III</w:t>
      </w:r>
      <w:r w:rsidR="008B54D4">
        <w:rPr>
          <w:color w:val="000000"/>
        </w:rPr>
        <w:t>,</w:t>
      </w:r>
      <w:r>
        <w:rPr>
          <w:color w:val="000000"/>
        </w:rPr>
        <w:t xml:space="preserve"> there was absolutely no basis for asserting that there could be any impact on the res of Manville</w:t>
      </w:r>
      <w:r w:rsidR="008B54D4">
        <w:rPr>
          <w:color w:val="000000"/>
        </w:rPr>
        <w:t>’</w:t>
      </w:r>
      <w:r>
        <w:rPr>
          <w:color w:val="000000"/>
        </w:rPr>
        <w:t>s bankruptcy estate if the third party claims were not enjoined</w:t>
      </w:r>
      <w:r w:rsidR="006A227C">
        <w:rPr>
          <w:color w:val="000000"/>
        </w:rPr>
        <w:t xml:space="preserve">.  </w:t>
      </w:r>
      <w:r>
        <w:rPr>
          <w:color w:val="000000"/>
        </w:rPr>
        <w:t>For that reason</w:t>
      </w:r>
      <w:r w:rsidR="008B54D4">
        <w:rPr>
          <w:color w:val="000000"/>
        </w:rPr>
        <w:t>,</w:t>
      </w:r>
      <w:r>
        <w:rPr>
          <w:color w:val="000000"/>
        </w:rPr>
        <w:t xml:space="preserve"> </w:t>
      </w:r>
      <w:r>
        <w:rPr>
          <w:i/>
          <w:iCs/>
          <w:color w:val="000000"/>
        </w:rPr>
        <w:t>Manville III/IV</w:t>
      </w:r>
      <w:r>
        <w:rPr>
          <w:color w:val="000000"/>
        </w:rPr>
        <w:t xml:space="preserve"> is not inconsistent with </w:t>
      </w:r>
      <w:r>
        <w:rPr>
          <w:i/>
          <w:iCs/>
          <w:color w:val="000000"/>
        </w:rPr>
        <w:t>SPV/OSUS</w:t>
      </w:r>
      <w:r>
        <w:rPr>
          <w:color w:val="000000"/>
        </w:rPr>
        <w:t>.</w:t>
      </w:r>
    </w:p>
    <w:p w14:paraId="62B4F6BD" w14:textId="582E7054" w:rsidR="00A77BBD" w:rsidRDefault="00A77BBD" w:rsidP="00A77BBD">
      <w:pPr>
        <w:pStyle w:val="BodyTextFirstIndent"/>
      </w:pPr>
      <w:r>
        <w:rPr>
          <w:color w:val="000000"/>
        </w:rPr>
        <w:t xml:space="preserve">The fact that the release extends to members of the </w:t>
      </w:r>
      <w:r w:rsidR="00E82FD6">
        <w:rPr>
          <w:color w:val="000000"/>
        </w:rPr>
        <w:t>Packler</w:t>
      </w:r>
      <w:r>
        <w:rPr>
          <w:color w:val="000000"/>
        </w:rPr>
        <w:t xml:space="preserve"> family who played no role in running the affairs of the company does not alter the analysis</w:t>
      </w:r>
      <w:r w:rsidR="006A227C">
        <w:rPr>
          <w:color w:val="000000"/>
        </w:rPr>
        <w:t xml:space="preserve">.  </w:t>
      </w:r>
      <w:r>
        <w:rPr>
          <w:color w:val="000000"/>
        </w:rPr>
        <w:t>At the present time</w:t>
      </w:r>
      <w:r w:rsidR="008B54D4">
        <w:rPr>
          <w:color w:val="000000"/>
        </w:rPr>
        <w:t>,</w:t>
      </w:r>
      <w:r>
        <w:rPr>
          <w:color w:val="000000"/>
        </w:rPr>
        <w:t xml:space="preserve"> the </w:t>
      </w:r>
      <w:r w:rsidR="00417667">
        <w:rPr>
          <w:color w:val="000000"/>
        </w:rPr>
        <w:t>C</w:t>
      </w:r>
      <w:r>
        <w:rPr>
          <w:color w:val="000000"/>
        </w:rPr>
        <w:t>ourt is not aware of any lawsuits that have been brought against any of those individuals; and no one can identify any claim against them that would be released by the Section</w:t>
      </w:r>
      <w:r w:rsidR="00B57F95">
        <w:rPr>
          <w:color w:val="000000"/>
        </w:rPr>
        <w:t xml:space="preserve"> </w:t>
      </w:r>
      <w:r>
        <w:rPr>
          <w:color w:val="000000"/>
        </w:rPr>
        <w:t>10.7</w:t>
      </w:r>
      <w:r w:rsidR="00B57F95">
        <w:rPr>
          <w:color w:val="000000"/>
        </w:rPr>
        <w:t xml:space="preserve"> </w:t>
      </w:r>
      <w:r>
        <w:rPr>
          <w:color w:val="000000"/>
        </w:rPr>
        <w:t>Shareholder Release</w:t>
      </w:r>
      <w:r w:rsidR="008B54D4">
        <w:rPr>
          <w:color w:val="000000"/>
        </w:rPr>
        <w:t>,</w:t>
      </w:r>
      <w:r>
        <w:rPr>
          <w:color w:val="000000"/>
        </w:rPr>
        <w:t xml:space="preserve"> other than as the recipients of money taken out of </w:t>
      </w:r>
      <w:r w:rsidR="006239B5">
        <w:rPr>
          <w:color w:val="000000"/>
        </w:rPr>
        <w:t>Oxy</w:t>
      </w:r>
      <w:r>
        <w:rPr>
          <w:color w:val="000000"/>
        </w:rPr>
        <w:t xml:space="preserve"> and up</w:t>
      </w:r>
      <w:r>
        <w:rPr>
          <w:color w:val="000000"/>
        </w:rPr>
        <w:softHyphen/>
      </w:r>
      <w:r w:rsidR="00C043F0">
        <w:rPr>
          <w:color w:val="000000"/>
        </w:rPr>
        <w:t>-</w:t>
      </w:r>
      <w:r>
        <w:rPr>
          <w:color w:val="000000"/>
        </w:rPr>
        <w:t>streamed to the family trusts</w:t>
      </w:r>
      <w:r w:rsidR="006A227C">
        <w:rPr>
          <w:color w:val="000000"/>
        </w:rPr>
        <w:t xml:space="preserve">.  </w:t>
      </w:r>
      <w:r>
        <w:rPr>
          <w:color w:val="000000"/>
        </w:rPr>
        <w:t>But any claims relating to those transfers rightfully belong to the Debtors</w:t>
      </w:r>
      <w:r w:rsidR="008B54D4">
        <w:rPr>
          <w:color w:val="000000"/>
        </w:rPr>
        <w:t>,</w:t>
      </w:r>
      <w:r>
        <w:rPr>
          <w:color w:val="000000"/>
        </w:rPr>
        <w:t xml:space="preserve"> whose claims against the world either “arise under” or “arise in” the bankruptcy</w:t>
      </w:r>
      <w:r w:rsidR="006A227C">
        <w:rPr>
          <w:color w:val="000000"/>
        </w:rPr>
        <w:t xml:space="preserve">.  </w:t>
      </w:r>
      <w:r>
        <w:rPr>
          <w:color w:val="000000"/>
        </w:rPr>
        <w:t>And those claims are not implicated by the Section 10.7 Shareholder Release.</w:t>
      </w:r>
    </w:p>
    <w:p w14:paraId="536A92D1" w14:textId="56F52CCC" w:rsidR="00A77BBD" w:rsidRDefault="00A77BBD" w:rsidP="00A77BBD">
      <w:pPr>
        <w:pStyle w:val="BodyTextFirstIndent"/>
      </w:pPr>
      <w:r>
        <w:rPr>
          <w:b/>
          <w:bCs/>
          <w:color w:val="000000"/>
          <w:u w:val="single"/>
        </w:rPr>
        <w:t>Fourth</w:t>
      </w:r>
      <w:r w:rsidR="008B54D4">
        <w:rPr>
          <w:color w:val="000000"/>
          <w:u w:val="single"/>
        </w:rPr>
        <w:t>,</w:t>
      </w:r>
      <w:r>
        <w:rPr>
          <w:color w:val="000000"/>
        </w:rPr>
        <w:t xml:space="preserve"> it is more than conceivable that </w:t>
      </w:r>
      <w:r w:rsidR="006239B5">
        <w:rPr>
          <w:color w:val="000000"/>
        </w:rPr>
        <w:t>Oxy</w:t>
      </w:r>
      <w:r w:rsidR="008B54D4">
        <w:rPr>
          <w:color w:val="000000"/>
        </w:rPr>
        <w:t>’</w:t>
      </w:r>
      <w:r>
        <w:rPr>
          <w:color w:val="000000"/>
        </w:rPr>
        <w:t>s litigation of the question of its indemnification</w:t>
      </w:r>
      <w:r w:rsidR="008B54D4">
        <w:rPr>
          <w:color w:val="000000"/>
        </w:rPr>
        <w:t>,</w:t>
      </w:r>
      <w:r>
        <w:rPr>
          <w:color w:val="000000"/>
        </w:rPr>
        <w:t xml:space="preserve"> contribution</w:t>
      </w:r>
      <w:r w:rsidR="008B54D4">
        <w:rPr>
          <w:color w:val="000000"/>
        </w:rPr>
        <w:t>,</w:t>
      </w:r>
      <w:r>
        <w:rPr>
          <w:color w:val="000000"/>
        </w:rPr>
        <w:t xml:space="preserve"> or insurance obligations to the director/officer/manager </w:t>
      </w:r>
      <w:r w:rsidR="00E82FD6">
        <w:rPr>
          <w:color w:val="000000"/>
        </w:rPr>
        <w:t>Packler</w:t>
      </w:r>
      <w:r>
        <w:rPr>
          <w:color w:val="000000"/>
        </w:rPr>
        <w:t>s could burden the assets of the estate.</w:t>
      </w:r>
    </w:p>
    <w:p w14:paraId="3A8F33D1" w14:textId="5E273AB7" w:rsidR="00A77BBD" w:rsidRDefault="00417667" w:rsidP="00A77BBD">
      <w:pPr>
        <w:pStyle w:val="BodyTextFirstIndent"/>
      </w:pPr>
      <w:r>
        <w:rPr>
          <w:color w:val="000000"/>
        </w:rPr>
        <w:t>Appellees</w:t>
      </w:r>
      <w:r w:rsidR="00A77BBD">
        <w:rPr>
          <w:color w:val="000000"/>
        </w:rPr>
        <w:t xml:space="preserve"> insist that their claims lie beyond the “related to” jurisdiction of the Bankruptcy Court in part because their laws bar indemnification</w:t>
      </w:r>
      <w:r w:rsidR="008B54D4">
        <w:rPr>
          <w:color w:val="000000"/>
        </w:rPr>
        <w:t>,</w:t>
      </w:r>
      <w:r w:rsidR="00A77BBD">
        <w:rPr>
          <w:color w:val="000000"/>
        </w:rPr>
        <w:t xml:space="preserve"> contribution</w:t>
      </w:r>
      <w:r w:rsidR="008B54D4">
        <w:rPr>
          <w:color w:val="000000"/>
        </w:rPr>
        <w:t>,</w:t>
      </w:r>
      <w:r w:rsidR="00A77BBD">
        <w:rPr>
          <w:color w:val="000000"/>
        </w:rPr>
        <w:t xml:space="preserve"> or insurance coverage for actions like those of the </w:t>
      </w:r>
      <w:r w:rsidR="00E82FD6">
        <w:rPr>
          <w:color w:val="000000"/>
        </w:rPr>
        <w:t>Packler</w:t>
      </w:r>
      <w:r w:rsidR="00A77BBD">
        <w:rPr>
          <w:color w:val="000000"/>
        </w:rPr>
        <w:t>s</w:t>
      </w:r>
      <w:r>
        <w:rPr>
          <w:color w:val="000000"/>
        </w:rPr>
        <w:t xml:space="preserve">, </w:t>
      </w:r>
      <w:r w:rsidR="00A77BBD">
        <w:rPr>
          <w:color w:val="000000"/>
        </w:rPr>
        <w:t xml:space="preserve">and so the claims cannot be extinguished by that </w:t>
      </w:r>
      <w:r>
        <w:rPr>
          <w:color w:val="000000"/>
        </w:rPr>
        <w:t>the Bankruptcy Court</w:t>
      </w:r>
      <w:r w:rsidR="006A227C">
        <w:rPr>
          <w:color w:val="000000"/>
        </w:rPr>
        <w:t xml:space="preserve">.  </w:t>
      </w:r>
      <w:r w:rsidR="00A77BBD">
        <w:rPr>
          <w:color w:val="000000"/>
        </w:rPr>
        <w:t>Without viable claims for indemnification</w:t>
      </w:r>
      <w:r w:rsidR="008B54D4">
        <w:rPr>
          <w:color w:val="000000"/>
        </w:rPr>
        <w:t>,</w:t>
      </w:r>
      <w:r w:rsidR="00A77BBD">
        <w:rPr>
          <w:color w:val="000000"/>
        </w:rPr>
        <w:t xml:space="preserve"> contribution</w:t>
      </w:r>
      <w:r w:rsidR="008B54D4">
        <w:rPr>
          <w:color w:val="000000"/>
        </w:rPr>
        <w:t>,</w:t>
      </w:r>
      <w:r w:rsidR="00A77BBD">
        <w:rPr>
          <w:color w:val="000000"/>
        </w:rPr>
        <w:t xml:space="preserve"> or insurance claims</w:t>
      </w:r>
      <w:r w:rsidR="008B54D4">
        <w:rPr>
          <w:color w:val="000000"/>
        </w:rPr>
        <w:t>,</w:t>
      </w:r>
      <w:r w:rsidR="00A77BBD">
        <w:rPr>
          <w:color w:val="000000"/>
        </w:rPr>
        <w:t xml:space="preserve"> the Appell</w:t>
      </w:r>
      <w:r>
        <w:rPr>
          <w:color w:val="000000"/>
        </w:rPr>
        <w:t>ee</w:t>
      </w:r>
      <w:r w:rsidR="00A77BBD">
        <w:rPr>
          <w:color w:val="000000"/>
        </w:rPr>
        <w:t xml:space="preserve">s argue that their claims against the </w:t>
      </w:r>
      <w:r w:rsidR="00E82FD6">
        <w:rPr>
          <w:color w:val="000000"/>
        </w:rPr>
        <w:t>Packler</w:t>
      </w:r>
      <w:r w:rsidR="00A77BBD">
        <w:rPr>
          <w:color w:val="000000"/>
        </w:rPr>
        <w:t>s will not have any conceivable effect on the Debtors</w:t>
      </w:r>
      <w:r w:rsidR="008B54D4">
        <w:rPr>
          <w:color w:val="000000"/>
        </w:rPr>
        <w:t>’</w:t>
      </w:r>
      <w:r w:rsidR="00A77BBD">
        <w:rPr>
          <w:color w:val="000000"/>
        </w:rPr>
        <w:t xml:space="preserve"> estate</w:t>
      </w:r>
      <w:r w:rsidR="008B54D4">
        <w:rPr>
          <w:color w:val="000000"/>
        </w:rPr>
        <w:t>,</w:t>
      </w:r>
      <w:r w:rsidR="00A77BBD">
        <w:rPr>
          <w:color w:val="000000"/>
        </w:rPr>
        <w:t xml:space="preserve"> thereby depriving the Bankruptcy Court of subject matter jurisdiction.</w:t>
      </w:r>
    </w:p>
    <w:p w14:paraId="22C3B53D" w14:textId="6CB54BF2" w:rsidR="00A77BBD" w:rsidRDefault="00417667" w:rsidP="00A77BBD">
      <w:pPr>
        <w:pStyle w:val="BodyTextFirstIndent"/>
      </w:pPr>
      <w:r>
        <w:rPr>
          <w:color w:val="000000"/>
        </w:rPr>
        <w:t xml:space="preserve">We </w:t>
      </w:r>
      <w:r w:rsidR="00A77BBD">
        <w:rPr>
          <w:color w:val="000000"/>
        </w:rPr>
        <w:t xml:space="preserve">begin by noting that this is precisely the type of reasoning that Judge Pooler rejected in </w:t>
      </w:r>
      <w:r w:rsidR="00A77BBD">
        <w:rPr>
          <w:i/>
          <w:iCs/>
          <w:color w:val="000000"/>
        </w:rPr>
        <w:t>SPV Osus</w:t>
      </w:r>
      <w:r w:rsidR="00A77BBD">
        <w:rPr>
          <w:color w:val="000000"/>
        </w:rPr>
        <w:t xml:space="preserve"> - a case</w:t>
      </w:r>
      <w:r w:rsidR="008B54D4">
        <w:rPr>
          <w:color w:val="000000"/>
        </w:rPr>
        <w:t>,</w:t>
      </w:r>
      <w:r w:rsidR="00A77BBD">
        <w:rPr>
          <w:color w:val="000000"/>
        </w:rPr>
        <w:t xml:space="preserve"> </w:t>
      </w:r>
      <w:r>
        <w:rPr>
          <w:color w:val="000000"/>
        </w:rPr>
        <w:t>we</w:t>
      </w:r>
      <w:r w:rsidR="00A77BBD">
        <w:rPr>
          <w:color w:val="000000"/>
        </w:rPr>
        <w:t xml:space="preserve"> submit</w:t>
      </w:r>
      <w:r w:rsidR="008B54D4">
        <w:rPr>
          <w:color w:val="000000"/>
        </w:rPr>
        <w:t>,</w:t>
      </w:r>
      <w:r w:rsidR="00A77BBD">
        <w:rPr>
          <w:color w:val="000000"/>
        </w:rPr>
        <w:t xml:space="preserve"> in which the actual possibility that a </w:t>
      </w:r>
      <w:r>
        <w:rPr>
          <w:color w:val="000000"/>
        </w:rPr>
        <w:t>co</w:t>
      </w:r>
      <w:r w:rsidR="003B7D4B">
        <w:rPr>
          <w:color w:val="000000"/>
        </w:rPr>
        <w:t>ntin</w:t>
      </w:r>
      <w:r w:rsidR="00A77BBD">
        <w:rPr>
          <w:color w:val="000000"/>
        </w:rPr>
        <w:t xml:space="preserve">gent contribution claim would have any impact on the </w:t>
      </w:r>
      <w:r w:rsidR="00A77BBD">
        <w:rPr>
          <w:i/>
          <w:iCs/>
          <w:color w:val="000000"/>
        </w:rPr>
        <w:t>res</w:t>
      </w:r>
      <w:r w:rsidR="00A77BBD">
        <w:rPr>
          <w:color w:val="000000"/>
        </w:rPr>
        <w:t xml:space="preserve"> of the Madoff estate was far less likely than it is in this case.</w:t>
      </w:r>
    </w:p>
    <w:p w14:paraId="490CB69B" w14:textId="233ED122" w:rsidR="00A77BBD" w:rsidRDefault="00A77BBD" w:rsidP="00A77BBD">
      <w:pPr>
        <w:pStyle w:val="BodyTextFirstIndent"/>
      </w:pPr>
      <w:r>
        <w:rPr>
          <w:color w:val="000000"/>
        </w:rPr>
        <w:t>The issue is not whether</w:t>
      </w:r>
      <w:r w:rsidR="008B54D4">
        <w:rPr>
          <w:color w:val="000000"/>
        </w:rPr>
        <w:t>,</w:t>
      </w:r>
      <w:r>
        <w:rPr>
          <w:color w:val="000000"/>
        </w:rPr>
        <w:t xml:space="preserve"> at the end of the day</w:t>
      </w:r>
      <w:r w:rsidR="008B54D4">
        <w:rPr>
          <w:color w:val="000000"/>
        </w:rPr>
        <w:t>,</w:t>
      </w:r>
      <w:r>
        <w:rPr>
          <w:color w:val="000000"/>
        </w:rPr>
        <w:t xml:space="preserve"> the </w:t>
      </w:r>
      <w:r w:rsidR="00E82FD6">
        <w:rPr>
          <w:color w:val="000000"/>
        </w:rPr>
        <w:t>Packler</w:t>
      </w:r>
      <w:r>
        <w:rPr>
          <w:color w:val="000000"/>
        </w:rPr>
        <w:t xml:space="preserve">s would lose on their </w:t>
      </w:r>
      <w:r w:rsidR="00417667">
        <w:rPr>
          <w:color w:val="000000"/>
        </w:rPr>
        <w:t>co</w:t>
      </w:r>
      <w:r w:rsidR="003B7D4B">
        <w:rPr>
          <w:color w:val="000000"/>
        </w:rPr>
        <w:t>ntin</w:t>
      </w:r>
      <w:r>
        <w:rPr>
          <w:color w:val="000000"/>
        </w:rPr>
        <w:t>gent claims; it is whether they have a reasonable legal basis for asserting them</w:t>
      </w:r>
      <w:r w:rsidR="006A227C">
        <w:rPr>
          <w:color w:val="000000"/>
        </w:rPr>
        <w:t xml:space="preserve">.  </w:t>
      </w:r>
    </w:p>
    <w:p w14:paraId="7BF2CB99" w14:textId="2D50A263" w:rsidR="00B56FD7" w:rsidRDefault="00A77BBD" w:rsidP="00A77BBD">
      <w:pPr>
        <w:pStyle w:val="BodyTextFirstIndent"/>
        <w:rPr>
          <w:color w:val="000000"/>
        </w:rPr>
      </w:pPr>
      <w:r>
        <w:rPr>
          <w:color w:val="000000"/>
        </w:rPr>
        <w:t xml:space="preserve">And the </w:t>
      </w:r>
      <w:r w:rsidR="00E82FD6">
        <w:rPr>
          <w:color w:val="000000"/>
        </w:rPr>
        <w:t>Packler</w:t>
      </w:r>
      <w:r>
        <w:rPr>
          <w:color w:val="000000"/>
        </w:rPr>
        <w:t>s do have a reasonable legal basis to assert those claims</w:t>
      </w:r>
      <w:r w:rsidR="006A227C">
        <w:rPr>
          <w:color w:val="000000"/>
        </w:rPr>
        <w:t xml:space="preserve">.  </w:t>
      </w:r>
      <w:r>
        <w:rPr>
          <w:color w:val="000000"/>
        </w:rPr>
        <w:t xml:space="preserve">The </w:t>
      </w:r>
      <w:r w:rsidR="00E82FD6">
        <w:rPr>
          <w:color w:val="000000"/>
        </w:rPr>
        <w:t>Packler</w:t>
      </w:r>
      <w:r>
        <w:rPr>
          <w:color w:val="000000"/>
        </w:rPr>
        <w:t xml:space="preserve">s named in the </w:t>
      </w:r>
      <w:r w:rsidR="00417667">
        <w:rPr>
          <w:color w:val="000000"/>
        </w:rPr>
        <w:t>certain of</w:t>
      </w:r>
      <w:r>
        <w:rPr>
          <w:color w:val="000000"/>
        </w:rPr>
        <w:t xml:space="preserve"> </w:t>
      </w:r>
      <w:r w:rsidR="0000767A">
        <w:rPr>
          <w:color w:val="000000"/>
        </w:rPr>
        <w:t xml:space="preserve">the </w:t>
      </w:r>
      <w:r>
        <w:rPr>
          <w:color w:val="000000"/>
        </w:rPr>
        <w:t>Appell</w:t>
      </w:r>
      <w:r w:rsidR="00417667">
        <w:rPr>
          <w:color w:val="000000"/>
        </w:rPr>
        <w:t>ee</w:t>
      </w:r>
      <w:r>
        <w:rPr>
          <w:color w:val="000000"/>
        </w:rPr>
        <w:t>s</w:t>
      </w:r>
      <w:r w:rsidR="008B54D4">
        <w:rPr>
          <w:color w:val="000000"/>
        </w:rPr>
        <w:t>’</w:t>
      </w:r>
      <w:r>
        <w:rPr>
          <w:color w:val="000000"/>
        </w:rPr>
        <w:t xml:space="preserve"> suits served as officers</w:t>
      </w:r>
      <w:r w:rsidR="008B54D4">
        <w:rPr>
          <w:color w:val="000000"/>
        </w:rPr>
        <w:t>,</w:t>
      </w:r>
      <w:r>
        <w:rPr>
          <w:color w:val="000000"/>
        </w:rPr>
        <w:t xml:space="preserve"> directors or managers of </w:t>
      </w:r>
      <w:r w:rsidR="006239B5">
        <w:rPr>
          <w:color w:val="000000"/>
        </w:rPr>
        <w:t>Oxy</w:t>
      </w:r>
      <w:r w:rsidR="006A227C">
        <w:rPr>
          <w:color w:val="000000"/>
        </w:rPr>
        <w:t xml:space="preserve">.  </w:t>
      </w:r>
      <w:r>
        <w:rPr>
          <w:color w:val="000000"/>
        </w:rPr>
        <w:t>As a result</w:t>
      </w:r>
      <w:r w:rsidR="008B54D4">
        <w:rPr>
          <w:color w:val="000000"/>
        </w:rPr>
        <w:t>,</w:t>
      </w:r>
      <w:r>
        <w:rPr>
          <w:color w:val="000000"/>
        </w:rPr>
        <w:t xml:space="preserve"> they have claims against </w:t>
      </w:r>
      <w:r w:rsidR="006239B5">
        <w:rPr>
          <w:color w:val="000000"/>
        </w:rPr>
        <w:t>Oxy</w:t>
      </w:r>
      <w:r>
        <w:rPr>
          <w:color w:val="000000"/>
        </w:rPr>
        <w:t xml:space="preserve"> for indemnification and contribution</w:t>
      </w:r>
      <w:r w:rsidR="008B54D4">
        <w:rPr>
          <w:color w:val="000000"/>
        </w:rPr>
        <w:t>,</w:t>
      </w:r>
      <w:r>
        <w:rPr>
          <w:color w:val="000000"/>
        </w:rPr>
        <w:t xml:space="preserve"> as well as a call on any D&amp;O insurance proceeds that cover </w:t>
      </w:r>
      <w:r w:rsidR="006239B5">
        <w:rPr>
          <w:color w:val="000000"/>
        </w:rPr>
        <w:t>Oxy</w:t>
      </w:r>
      <w:r w:rsidR="008B54D4">
        <w:rPr>
          <w:color w:val="000000"/>
        </w:rPr>
        <w:t>’</w:t>
      </w:r>
      <w:r>
        <w:rPr>
          <w:color w:val="000000"/>
        </w:rPr>
        <w:t>s officer and directors</w:t>
      </w:r>
      <w:r w:rsidR="006A227C">
        <w:rPr>
          <w:color w:val="000000"/>
        </w:rPr>
        <w:t xml:space="preserve">.  </w:t>
      </w:r>
      <w:r>
        <w:rPr>
          <w:color w:val="000000"/>
        </w:rPr>
        <w:t>As th</w:t>
      </w:r>
      <w:r w:rsidR="00417667">
        <w:rPr>
          <w:color w:val="000000"/>
        </w:rPr>
        <w:t>e District</w:t>
      </w:r>
      <w:r>
        <w:rPr>
          <w:color w:val="000000"/>
        </w:rPr>
        <w:t xml:space="preserve"> </w:t>
      </w:r>
      <w:r w:rsidR="00417667">
        <w:rPr>
          <w:color w:val="000000"/>
        </w:rPr>
        <w:t>C</w:t>
      </w:r>
      <w:r>
        <w:rPr>
          <w:color w:val="000000"/>
        </w:rPr>
        <w:t xml:space="preserve">ourt noted almost two years ago in </w:t>
      </w:r>
      <w:r>
        <w:rPr>
          <w:i/>
          <w:iCs/>
          <w:color w:val="000000"/>
        </w:rPr>
        <w:t>Dunaway</w:t>
      </w:r>
      <w:r w:rsidR="008B54D4">
        <w:rPr>
          <w:color w:val="000000"/>
        </w:rPr>
        <w:t>,</w:t>
      </w:r>
      <w:r>
        <w:rPr>
          <w:color w:val="000000"/>
        </w:rPr>
        <w:t xml:space="preserve"> </w:t>
      </w:r>
      <w:r w:rsidR="006239B5">
        <w:rPr>
          <w:color w:val="000000"/>
        </w:rPr>
        <w:t>Oxy</w:t>
      </w:r>
      <w:r w:rsidR="008B54D4">
        <w:rPr>
          <w:color w:val="000000"/>
        </w:rPr>
        <w:t>’</w:t>
      </w:r>
      <w:r>
        <w:rPr>
          <w:color w:val="000000"/>
        </w:rPr>
        <w:t xml:space="preserve">s current and former directors and officers of the company are covered by various </w:t>
      </w:r>
      <w:r w:rsidR="00417667">
        <w:rPr>
          <w:color w:val="000000"/>
        </w:rPr>
        <w:t>l</w:t>
      </w:r>
      <w:r>
        <w:rPr>
          <w:color w:val="000000"/>
        </w:rPr>
        <w:t xml:space="preserve">imited </w:t>
      </w:r>
      <w:r w:rsidR="00417667">
        <w:rPr>
          <w:color w:val="000000"/>
        </w:rPr>
        <w:t>p</w:t>
      </w:r>
      <w:r>
        <w:rPr>
          <w:color w:val="000000"/>
        </w:rPr>
        <w:t xml:space="preserve">artnership </w:t>
      </w:r>
      <w:r w:rsidR="00417667">
        <w:rPr>
          <w:color w:val="000000"/>
        </w:rPr>
        <w:t>a</w:t>
      </w:r>
      <w:r>
        <w:rPr>
          <w:color w:val="000000"/>
        </w:rPr>
        <w:t>greements (“LPA”)</w:t>
      </w:r>
      <w:r w:rsidR="008B54D4">
        <w:rPr>
          <w:color w:val="000000"/>
        </w:rPr>
        <w:t>,</w:t>
      </w:r>
      <w:r>
        <w:rPr>
          <w:color w:val="000000"/>
        </w:rPr>
        <w:t xml:space="preserve"> which provide that </w:t>
      </w:r>
      <w:r w:rsidR="006239B5">
        <w:rPr>
          <w:color w:val="000000"/>
        </w:rPr>
        <w:t>Oxy</w:t>
      </w:r>
      <w:r>
        <w:rPr>
          <w:color w:val="000000"/>
        </w:rPr>
        <w:t xml:space="preserve"> shall indemnify these directors and officers “so long as the Indemnitee shall be subject to any possible Proceeding by reason of the fact that the Indemnitee is or was </w:t>
      </w:r>
      <w:r w:rsidR="00110F91">
        <w:rPr>
          <w:color w:val="000000"/>
        </w:rPr>
        <w:t xml:space="preserve">. . . </w:t>
      </w:r>
      <w:r>
        <w:rPr>
          <w:color w:val="000000"/>
        </w:rPr>
        <w:t>a director</w:t>
      </w:r>
      <w:r w:rsidR="008B54D4">
        <w:rPr>
          <w:color w:val="000000"/>
        </w:rPr>
        <w:t>,</w:t>
      </w:r>
      <w:r>
        <w:rPr>
          <w:color w:val="000000"/>
        </w:rPr>
        <w:t xml:space="preserve"> officer or Agent of [the </w:t>
      </w:r>
      <w:r w:rsidR="006239B5">
        <w:rPr>
          <w:color w:val="000000"/>
        </w:rPr>
        <w:t>Oxy</w:t>
      </w:r>
      <w:r>
        <w:rPr>
          <w:color w:val="000000"/>
        </w:rPr>
        <w:t xml:space="preserve"> entities]</w:t>
      </w:r>
      <w:r w:rsidR="00FA79C1">
        <w:rPr>
          <w:color w:val="000000"/>
        </w:rPr>
        <w:t xml:space="preserve">.”  </w:t>
      </w:r>
    </w:p>
    <w:p w14:paraId="52C6CE1D" w14:textId="77777777" w:rsidR="00B56FD7" w:rsidRDefault="00A77BBD" w:rsidP="00A77BBD">
      <w:pPr>
        <w:pStyle w:val="BodyTextFirstIndent"/>
        <w:rPr>
          <w:color w:val="000000"/>
        </w:rPr>
      </w:pPr>
      <w:r>
        <w:rPr>
          <w:color w:val="000000"/>
        </w:rPr>
        <w:t xml:space="preserve">The various state unfair trade practices laws that have been cited to this court all subject the </w:t>
      </w:r>
      <w:r w:rsidR="00E82FD6">
        <w:rPr>
          <w:color w:val="000000"/>
        </w:rPr>
        <w:t>Packler</w:t>
      </w:r>
      <w:r>
        <w:rPr>
          <w:color w:val="000000"/>
        </w:rPr>
        <w:t>s to the potential for liability because of their status as officers</w:t>
      </w:r>
      <w:r w:rsidR="008B54D4">
        <w:rPr>
          <w:color w:val="000000"/>
        </w:rPr>
        <w:t>,</w:t>
      </w:r>
      <w:r>
        <w:rPr>
          <w:color w:val="000000"/>
        </w:rPr>
        <w:t xml:space="preserve"> directors or managers of the corporation - even though that liability is direct</w:t>
      </w:r>
      <w:r w:rsidR="008B54D4">
        <w:rPr>
          <w:color w:val="000000"/>
        </w:rPr>
        <w:t>,</w:t>
      </w:r>
      <w:r>
        <w:rPr>
          <w:color w:val="000000"/>
        </w:rPr>
        <w:t xml:space="preserve"> not derivative</w:t>
      </w:r>
      <w:r w:rsidR="006A227C">
        <w:rPr>
          <w:color w:val="000000"/>
        </w:rPr>
        <w:t xml:space="preserve">.  </w:t>
      </w:r>
      <w:r>
        <w:rPr>
          <w:color w:val="000000"/>
        </w:rPr>
        <w:t>Moreover</w:t>
      </w:r>
      <w:r w:rsidR="008B54D4">
        <w:rPr>
          <w:color w:val="000000"/>
        </w:rPr>
        <w:t>,</w:t>
      </w:r>
      <w:r>
        <w:rPr>
          <w:color w:val="000000"/>
        </w:rPr>
        <w:t xml:space="preserve"> the LPAs are governed by Delaware law</w:t>
      </w:r>
      <w:r w:rsidR="008B54D4">
        <w:rPr>
          <w:color w:val="000000"/>
        </w:rPr>
        <w:t>,</w:t>
      </w:r>
      <w:r>
        <w:rPr>
          <w:color w:val="000000"/>
        </w:rPr>
        <w:t xml:space="preserve"> which allows for indemnification</w:t>
      </w:r>
      <w:r w:rsidR="008B54D4">
        <w:rPr>
          <w:color w:val="000000"/>
        </w:rPr>
        <w:t>,</w:t>
      </w:r>
      <w:r>
        <w:rPr>
          <w:color w:val="000000"/>
        </w:rPr>
        <w:t xml:space="preserve"> and the states as a general matter look to the state of incorporation for the availability of indemnity</w:t>
      </w:r>
      <w:r w:rsidR="006A227C">
        <w:rPr>
          <w:color w:val="000000"/>
        </w:rPr>
        <w:t xml:space="preserve">.  </w:t>
      </w:r>
    </w:p>
    <w:p w14:paraId="5C0B301E" w14:textId="2FDE0EE5" w:rsidR="00A77BBD" w:rsidRDefault="00A77BBD" w:rsidP="00A77BBD">
      <w:pPr>
        <w:pStyle w:val="BodyTextFirstIndent"/>
      </w:pPr>
      <w:r>
        <w:rPr>
          <w:color w:val="000000"/>
        </w:rPr>
        <w:t>Similarly</w:t>
      </w:r>
      <w:r w:rsidR="008B54D4">
        <w:rPr>
          <w:color w:val="000000"/>
        </w:rPr>
        <w:t>,</w:t>
      </w:r>
      <w:r>
        <w:rPr>
          <w:color w:val="000000"/>
        </w:rPr>
        <w:t xml:space="preserve"> the </w:t>
      </w:r>
      <w:r w:rsidR="006239B5">
        <w:rPr>
          <w:color w:val="000000"/>
        </w:rPr>
        <w:t>Oxy</w:t>
      </w:r>
      <w:r>
        <w:rPr>
          <w:color w:val="000000"/>
        </w:rPr>
        <w:t xml:space="preserve"> insurance policies that cover the </w:t>
      </w:r>
      <w:r w:rsidR="00E82FD6">
        <w:rPr>
          <w:color w:val="000000"/>
        </w:rPr>
        <w:t>Packler</w:t>
      </w:r>
      <w:r>
        <w:rPr>
          <w:color w:val="000000"/>
        </w:rPr>
        <w:t xml:space="preserve"> former directors could be depleted</w:t>
      </w:r>
      <w:r w:rsidR="008B54D4">
        <w:rPr>
          <w:color w:val="000000"/>
        </w:rPr>
        <w:t>,</w:t>
      </w:r>
      <w:r>
        <w:rPr>
          <w:color w:val="000000"/>
        </w:rPr>
        <w:t xml:space="preserve"> </w:t>
      </w:r>
      <w:r>
        <w:rPr>
          <w:i/>
          <w:iCs/>
          <w:color w:val="000000"/>
        </w:rPr>
        <w:t>inter alia</w:t>
      </w:r>
      <w:r w:rsidR="008B54D4">
        <w:rPr>
          <w:color w:val="000000"/>
        </w:rPr>
        <w:t>,</w:t>
      </w:r>
      <w:r>
        <w:rPr>
          <w:color w:val="000000"/>
        </w:rPr>
        <w:t xml:space="preserve"> if a </w:t>
      </w:r>
      <w:r w:rsidR="00E82FD6">
        <w:rPr>
          <w:color w:val="000000"/>
        </w:rPr>
        <w:t>Packler</w:t>
      </w:r>
      <w:r>
        <w:rPr>
          <w:color w:val="000000"/>
        </w:rPr>
        <w:t xml:space="preserve"> former director prevailed in litigation or a plaintiff prevailed in litigation on a non-fraud claim</w:t>
      </w:r>
      <w:r w:rsidR="006A227C">
        <w:rPr>
          <w:color w:val="000000"/>
        </w:rPr>
        <w:t>.</w:t>
      </w:r>
      <w:r>
        <w:rPr>
          <w:color w:val="000000"/>
        </w:rPr>
        <w:t xml:space="preserve"> Under various state laws</w:t>
      </w:r>
      <w:r w:rsidR="008B54D4">
        <w:rPr>
          <w:color w:val="000000"/>
        </w:rPr>
        <w:t>,</w:t>
      </w:r>
      <w:r>
        <w:rPr>
          <w:color w:val="000000"/>
        </w:rPr>
        <w:t xml:space="preserve"> the </w:t>
      </w:r>
      <w:r w:rsidR="00E82FD6">
        <w:rPr>
          <w:color w:val="000000"/>
        </w:rPr>
        <w:t>Packler</w:t>
      </w:r>
      <w:r>
        <w:rPr>
          <w:color w:val="000000"/>
        </w:rPr>
        <w:t>s parties can also seek an advance against defense costs; even if those costs are ultimately recouped</w:t>
      </w:r>
      <w:r w:rsidR="008B54D4">
        <w:rPr>
          <w:color w:val="000000"/>
        </w:rPr>
        <w:t>,</w:t>
      </w:r>
      <w:r>
        <w:rPr>
          <w:color w:val="000000"/>
        </w:rPr>
        <w:t xml:space="preserve"> those defense funds will</w:t>
      </w:r>
      <w:r w:rsidR="008B54D4">
        <w:rPr>
          <w:color w:val="000000"/>
        </w:rPr>
        <w:t>,</w:t>
      </w:r>
      <w:r>
        <w:rPr>
          <w:color w:val="000000"/>
        </w:rPr>
        <w:t xml:space="preserve"> for at least some time</w:t>
      </w:r>
      <w:r w:rsidR="008B54D4">
        <w:rPr>
          <w:color w:val="000000"/>
        </w:rPr>
        <w:t>,</w:t>
      </w:r>
      <w:r>
        <w:rPr>
          <w:color w:val="000000"/>
        </w:rPr>
        <w:t xml:space="preserve"> leave the estate</w:t>
      </w:r>
      <w:r w:rsidR="006A227C">
        <w:rPr>
          <w:color w:val="000000"/>
        </w:rPr>
        <w:t xml:space="preserve">.  </w:t>
      </w:r>
      <w:r>
        <w:rPr>
          <w:i/>
          <w:iCs/>
          <w:color w:val="000000"/>
        </w:rPr>
        <w:t>See</w:t>
      </w:r>
      <w:r>
        <w:rPr>
          <w:color w:val="000000"/>
        </w:rPr>
        <w:t xml:space="preserve"> CT Gen Stat § 33-776; 8 Del.</w:t>
      </w:r>
      <w:r w:rsidR="00C043F0">
        <w:rPr>
          <w:color w:val="000000"/>
        </w:rPr>
        <w:t xml:space="preserve"> </w:t>
      </w:r>
      <w:r>
        <w:rPr>
          <w:color w:val="000000"/>
        </w:rPr>
        <w:t>C</w:t>
      </w:r>
      <w:r w:rsidR="006A227C">
        <w:rPr>
          <w:color w:val="000000"/>
        </w:rPr>
        <w:t xml:space="preserve">. </w:t>
      </w:r>
      <w:r>
        <w:rPr>
          <w:color w:val="000000"/>
        </w:rPr>
        <w:t>§ 145</w:t>
      </w:r>
      <w:r w:rsidR="006A227C">
        <w:rPr>
          <w:color w:val="000000"/>
        </w:rPr>
        <w:t xml:space="preserve">.  </w:t>
      </w:r>
      <w:r>
        <w:rPr>
          <w:color w:val="000000"/>
        </w:rPr>
        <w:t>The law governing insurance coverage is generally the law governing the policy - not the law of the objecting state</w:t>
      </w:r>
      <w:r w:rsidR="006A227C">
        <w:rPr>
          <w:color w:val="000000"/>
        </w:rPr>
        <w:t xml:space="preserve">.  </w:t>
      </w:r>
      <w:r>
        <w:rPr>
          <w:color w:val="000000"/>
        </w:rPr>
        <w:t>Only one state has an exception to that - California</w:t>
      </w:r>
      <w:r w:rsidR="008B54D4">
        <w:rPr>
          <w:color w:val="000000"/>
        </w:rPr>
        <w:t>,</w:t>
      </w:r>
      <w:r>
        <w:rPr>
          <w:color w:val="000000"/>
        </w:rPr>
        <w:t xml:space="preserve"> whose law specifically prohibits indemnity or insurance coverage for losses resulting from a violation of its false advertising law or unfair competition law</w:t>
      </w:r>
      <w:r w:rsidR="008B54D4">
        <w:rPr>
          <w:color w:val="000000"/>
        </w:rPr>
        <w:t>,</w:t>
      </w:r>
      <w:r>
        <w:rPr>
          <w:color w:val="000000"/>
        </w:rPr>
        <w:t xml:space="preserve"> and under which law an insurer has no duty to defend or advance costs</w:t>
      </w:r>
      <w:r w:rsidR="006A227C">
        <w:rPr>
          <w:color w:val="000000"/>
        </w:rPr>
        <w:t xml:space="preserve">.  </w:t>
      </w:r>
      <w:r w:rsidR="00CA3130">
        <w:rPr>
          <w:i/>
          <w:iCs/>
          <w:color w:val="000000"/>
        </w:rPr>
        <w:t>S</w:t>
      </w:r>
      <w:r>
        <w:rPr>
          <w:i/>
          <w:iCs/>
          <w:color w:val="000000"/>
        </w:rPr>
        <w:t>ee</w:t>
      </w:r>
      <w:hyperlink r:id="rId116" w:history="1">
        <w:r>
          <w:rPr>
            <w:color w:val="000000"/>
          </w:rPr>
          <w:t xml:space="preserve"> Cal</w:t>
        </w:r>
        <w:r w:rsidR="006A227C">
          <w:rPr>
            <w:color w:val="000000"/>
          </w:rPr>
          <w:t xml:space="preserve">. </w:t>
        </w:r>
        <w:r>
          <w:rPr>
            <w:color w:val="000000"/>
          </w:rPr>
          <w:t>Ins</w:t>
        </w:r>
        <w:r w:rsidR="006A227C">
          <w:rPr>
            <w:color w:val="000000"/>
          </w:rPr>
          <w:t xml:space="preserve">. </w:t>
        </w:r>
        <w:r>
          <w:rPr>
            <w:color w:val="000000"/>
          </w:rPr>
          <w:t>Code § 533.5</w:t>
        </w:r>
      </w:hyperlink>
      <w:r>
        <w:rPr>
          <w:color w:val="000000"/>
        </w:rPr>
        <w:t xml:space="preserve">; </w:t>
      </w:r>
      <w:r>
        <w:rPr>
          <w:i/>
          <w:iCs/>
          <w:color w:val="000000"/>
        </w:rPr>
        <w:t>Adir International</w:t>
      </w:r>
      <w:r w:rsidR="008B54D4">
        <w:rPr>
          <w:i/>
          <w:iCs/>
          <w:color w:val="000000"/>
        </w:rPr>
        <w:t>,</w:t>
      </w:r>
      <w:r>
        <w:rPr>
          <w:i/>
          <w:iCs/>
          <w:color w:val="000000"/>
        </w:rPr>
        <w:t xml:space="preserve"> LLC</w:t>
      </w:r>
      <w:r w:rsidR="00E150C1">
        <w:rPr>
          <w:i/>
          <w:iCs/>
          <w:color w:val="000000"/>
        </w:rPr>
        <w:t xml:space="preserve"> v. </w:t>
      </w:r>
      <w:r>
        <w:rPr>
          <w:i/>
          <w:iCs/>
          <w:color w:val="000000"/>
        </w:rPr>
        <w:t>Starr Indemnity and Liability Co.</w:t>
      </w:r>
      <w:r w:rsidR="008B54D4">
        <w:rPr>
          <w:color w:val="000000"/>
        </w:rPr>
        <w:t>,</w:t>
      </w:r>
      <w:r>
        <w:rPr>
          <w:color w:val="000000"/>
        </w:rPr>
        <w:t xml:space="preserve"> </w:t>
      </w:r>
      <w:hyperlink r:id="rId117" w:history="1">
        <w:r>
          <w:rPr>
            <w:color w:val="000000"/>
          </w:rPr>
          <w:t>994 F.3d 1032</w:t>
        </w:r>
        <w:r w:rsidR="008B54D4">
          <w:rPr>
            <w:color w:val="000000"/>
          </w:rPr>
          <w:t>,</w:t>
        </w:r>
        <w:r>
          <w:rPr>
            <w:color w:val="000000"/>
          </w:rPr>
          <w:t xml:space="preserve"> 1045 </w:t>
        </w:r>
      </w:hyperlink>
      <w:r>
        <w:rPr>
          <w:color w:val="000000"/>
        </w:rPr>
        <w:t xml:space="preserve">(9th </w:t>
      </w:r>
      <w:r w:rsidR="00E97455">
        <w:rPr>
          <w:color w:val="000000"/>
        </w:rPr>
        <w:t xml:space="preserve">Cir. </w:t>
      </w:r>
      <w:r>
        <w:rPr>
          <w:color w:val="000000"/>
        </w:rPr>
        <w:t>2021).</w:t>
      </w:r>
    </w:p>
    <w:p w14:paraId="5E37045E" w14:textId="74EE314B" w:rsidR="00A77BBD" w:rsidRDefault="00A77BBD" w:rsidP="00A77BBD">
      <w:pPr>
        <w:pStyle w:val="BodyTextFirstIndent"/>
      </w:pPr>
      <w:r>
        <w:rPr>
          <w:color w:val="000000"/>
        </w:rPr>
        <w:t>There is no doubt that the Shareholder Released Parties</w:t>
      </w:r>
      <w:r w:rsidR="008B54D4">
        <w:rPr>
          <w:color w:val="000000"/>
        </w:rPr>
        <w:t>’</w:t>
      </w:r>
      <w:r>
        <w:rPr>
          <w:color w:val="000000"/>
        </w:rPr>
        <w:t xml:space="preserve"> right to indemnification</w:t>
      </w:r>
      <w:r w:rsidR="008B54D4">
        <w:rPr>
          <w:color w:val="000000"/>
        </w:rPr>
        <w:t>,</w:t>
      </w:r>
      <w:r>
        <w:rPr>
          <w:color w:val="000000"/>
        </w:rPr>
        <w:t xml:space="preserve"> contribution</w:t>
      </w:r>
      <w:r w:rsidR="008B54D4">
        <w:rPr>
          <w:color w:val="000000"/>
        </w:rPr>
        <w:t>,</w:t>
      </w:r>
      <w:r>
        <w:rPr>
          <w:color w:val="000000"/>
        </w:rPr>
        <w:t xml:space="preserve"> and/or insurance will be vigorously litigated</w:t>
      </w:r>
      <w:r w:rsidR="008B54D4">
        <w:rPr>
          <w:color w:val="000000"/>
        </w:rPr>
        <w:t>,</w:t>
      </w:r>
      <w:r>
        <w:rPr>
          <w:color w:val="000000"/>
        </w:rPr>
        <w:t xml:space="preserve"> as Judge </w:t>
      </w:r>
      <w:r w:rsidR="00E82FD6">
        <w:rPr>
          <w:color w:val="000000"/>
        </w:rPr>
        <w:t>Wains</w:t>
      </w:r>
      <w:r>
        <w:rPr>
          <w:color w:val="000000"/>
        </w:rPr>
        <w:t xml:space="preserve"> rightly pointed out below</w:t>
      </w:r>
      <w:r w:rsidR="006A227C">
        <w:rPr>
          <w:color w:val="000000"/>
        </w:rPr>
        <w:t xml:space="preserve">.  </w:t>
      </w:r>
      <w:r>
        <w:rPr>
          <w:i/>
          <w:iCs/>
          <w:color w:val="000000"/>
        </w:rPr>
        <w:t xml:space="preserve">See In re </w:t>
      </w:r>
      <w:r w:rsidR="006239B5">
        <w:rPr>
          <w:i/>
          <w:iCs/>
          <w:color w:val="000000"/>
        </w:rPr>
        <w:t>Oxy</w:t>
      </w:r>
      <w:r>
        <w:rPr>
          <w:i/>
          <w:iCs/>
          <w:color w:val="000000"/>
        </w:rPr>
        <w:t xml:space="preserve"> Pharma L.P.</w:t>
      </w:r>
      <w:r w:rsidR="008B54D4">
        <w:rPr>
          <w:color w:val="000000"/>
        </w:rPr>
        <w:t>,</w:t>
      </w:r>
      <w:r>
        <w:rPr>
          <w:color w:val="000000"/>
        </w:rPr>
        <w:t xml:space="preserve"> </w:t>
      </w:r>
      <w:hyperlink r:id="rId118" w:history="1">
        <w:r>
          <w:rPr>
            <w:color w:val="000000"/>
          </w:rPr>
          <w:t>2021 WL 4240974</w:t>
        </w:r>
      </w:hyperlink>
      <w:r w:rsidR="008B54D4">
        <w:rPr>
          <w:color w:val="000000"/>
        </w:rPr>
        <w:t>,</w:t>
      </w:r>
      <w:r>
        <w:rPr>
          <w:color w:val="000000"/>
        </w:rPr>
        <w:t xml:space="preserve"> at *38</w:t>
      </w:r>
      <w:r w:rsidR="006A227C">
        <w:rPr>
          <w:color w:val="000000"/>
        </w:rPr>
        <w:t xml:space="preserve">.  </w:t>
      </w:r>
      <w:r>
        <w:rPr>
          <w:color w:val="000000"/>
        </w:rPr>
        <w:t>That litigation will cost money</w:t>
      </w:r>
      <w:r w:rsidR="006A227C">
        <w:rPr>
          <w:color w:val="000000"/>
        </w:rPr>
        <w:t xml:space="preserve">.  </w:t>
      </w:r>
      <w:r>
        <w:rPr>
          <w:color w:val="000000"/>
        </w:rPr>
        <w:t xml:space="preserve">And so it very well </w:t>
      </w:r>
      <w:r>
        <w:rPr>
          <w:i/>
          <w:iCs/>
          <w:color w:val="000000"/>
        </w:rPr>
        <w:t>might have</w:t>
      </w:r>
      <w:r>
        <w:rPr>
          <w:color w:val="000000"/>
        </w:rPr>
        <w:t xml:space="preserve"> an impact on the estate; in fact</w:t>
      </w:r>
      <w:r w:rsidR="008B54D4">
        <w:rPr>
          <w:color w:val="000000"/>
        </w:rPr>
        <w:t>,</w:t>
      </w:r>
      <w:r>
        <w:rPr>
          <w:color w:val="000000"/>
        </w:rPr>
        <w:t xml:space="preserve"> it likely </w:t>
      </w:r>
      <w:r>
        <w:rPr>
          <w:i/>
          <w:iCs/>
          <w:color w:val="000000"/>
        </w:rPr>
        <w:t>will have</w:t>
      </w:r>
      <w:r>
        <w:rPr>
          <w:color w:val="000000"/>
        </w:rPr>
        <w:t xml:space="preserve"> such an impact.</w:t>
      </w:r>
    </w:p>
    <w:p w14:paraId="7FAF827B" w14:textId="5A489A76" w:rsidR="00A77BBD" w:rsidRDefault="00A77BBD" w:rsidP="00A77BBD">
      <w:pPr>
        <w:pStyle w:val="BodyTextFirstIndent"/>
      </w:pPr>
      <w:r>
        <w:rPr>
          <w:color w:val="000000"/>
        </w:rPr>
        <w:t xml:space="preserve">Given the breadth of the Second Circuit law under </w:t>
      </w:r>
      <w:r>
        <w:rPr>
          <w:i/>
          <w:iCs/>
          <w:color w:val="000000"/>
        </w:rPr>
        <w:t>SPV Osus</w:t>
      </w:r>
      <w:r w:rsidR="008B54D4">
        <w:rPr>
          <w:color w:val="000000"/>
        </w:rPr>
        <w:t>,</w:t>
      </w:r>
      <w:r>
        <w:rPr>
          <w:color w:val="000000"/>
        </w:rPr>
        <w:t xml:space="preserve"> </w:t>
      </w:r>
      <w:r w:rsidR="00B56FD7">
        <w:rPr>
          <w:color w:val="000000"/>
        </w:rPr>
        <w:t xml:space="preserve">we </w:t>
      </w:r>
      <w:r>
        <w:rPr>
          <w:color w:val="000000"/>
        </w:rPr>
        <w:t xml:space="preserve">find that the claims asserted against the Shareholder Released Parties </w:t>
      </w:r>
      <w:r>
        <w:rPr>
          <w:i/>
          <w:iCs/>
          <w:color w:val="000000"/>
        </w:rPr>
        <w:t>might have</w:t>
      </w:r>
      <w:r>
        <w:rPr>
          <w:color w:val="000000"/>
        </w:rPr>
        <w:t xml:space="preserve"> some conceivable effect on the estate of a debtor</w:t>
      </w:r>
      <w:r w:rsidR="008B54D4">
        <w:rPr>
          <w:color w:val="000000"/>
        </w:rPr>
        <w:t>,</w:t>
      </w:r>
      <w:r>
        <w:rPr>
          <w:color w:val="000000"/>
        </w:rPr>
        <w:t xml:space="preserve"> for each of the foregoing reasons</w:t>
      </w:r>
      <w:r w:rsidR="008B54D4">
        <w:rPr>
          <w:color w:val="000000"/>
        </w:rPr>
        <w:t>,</w:t>
      </w:r>
      <w:r>
        <w:rPr>
          <w:color w:val="000000"/>
        </w:rPr>
        <w:t xml:space="preserve"> and thus fall within the “related to” jurisdiction of the Bankruptcy Court.</w:t>
      </w:r>
    </w:p>
    <w:p w14:paraId="70113117" w14:textId="77777777" w:rsidR="00A77BBD" w:rsidRDefault="00A77BBD" w:rsidP="00A77BBD">
      <w:pPr>
        <w:pStyle w:val="BodyTextFirstIndent"/>
        <w:rPr>
          <w:b/>
          <w:bCs/>
        </w:rPr>
      </w:pPr>
      <w:r>
        <w:rPr>
          <w:b/>
          <w:bCs/>
          <w:color w:val="000000"/>
        </w:rPr>
        <w:t>II.</w:t>
      </w:r>
      <w:r>
        <w:rPr>
          <w:b/>
          <w:bCs/>
          <w:color w:val="000000"/>
        </w:rPr>
        <w:tab/>
        <w:t>The Bankruptcy Court Does Not Have Statutory Power to Release Particularized Third- Party Claims Against Non-Debtors.</w:t>
      </w:r>
    </w:p>
    <w:p w14:paraId="5E9539F0" w14:textId="168A6E03" w:rsidR="00A77BBD" w:rsidRDefault="00A77BBD" w:rsidP="00A77BBD">
      <w:pPr>
        <w:pStyle w:val="BodyTextFirstIndent"/>
      </w:pPr>
      <w:r>
        <w:rPr>
          <w:color w:val="000000"/>
        </w:rPr>
        <w:t>Appell</w:t>
      </w:r>
      <w:r w:rsidR="00B56FD7">
        <w:rPr>
          <w:color w:val="000000"/>
        </w:rPr>
        <w:t>ee</w:t>
      </w:r>
      <w:r>
        <w:rPr>
          <w:color w:val="000000"/>
        </w:rPr>
        <w:t>s argue that the Bankruptcy Court has no statutory authority to approve a release of third-party claims against non-debtors.</w:t>
      </w:r>
    </w:p>
    <w:p w14:paraId="6840B22F" w14:textId="79F61605" w:rsidR="00A77BBD" w:rsidRDefault="00A77BBD" w:rsidP="00A77BBD">
      <w:pPr>
        <w:pStyle w:val="BodyTextFirstIndent"/>
      </w:pPr>
      <w:r>
        <w:rPr>
          <w:color w:val="000000"/>
        </w:rPr>
        <w:t>There is a long-standing conflict among the Circuits that have ruled on the question</w:t>
      </w:r>
      <w:r w:rsidR="008B54D4">
        <w:rPr>
          <w:color w:val="000000"/>
        </w:rPr>
        <w:t>,</w:t>
      </w:r>
      <w:r>
        <w:rPr>
          <w:color w:val="000000"/>
        </w:rPr>
        <w:t xml:space="preserve"> which gives rise to the anomaly that whether a bankruptcy court can bar third parties from asserting non</w:t>
      </w:r>
      <w:r>
        <w:rPr>
          <w:color w:val="000000"/>
        </w:rPr>
        <w:softHyphen/>
        <w:t>derivative claim against a non-debtor- a matter that surely ought to be uniform throughout the country - is entirely a function of where the debtor files for bankruptcy.</w:t>
      </w:r>
    </w:p>
    <w:p w14:paraId="1500A2C6" w14:textId="29CD0844" w:rsidR="00A77BBD" w:rsidRDefault="00A77BBD" w:rsidP="00A77BBD">
      <w:pPr>
        <w:pStyle w:val="BodyTextFirstIndent"/>
      </w:pPr>
      <w:r>
        <w:rPr>
          <w:color w:val="000000"/>
        </w:rPr>
        <w:t>And while the Second Circuit long ago identified as questionable a court</w:t>
      </w:r>
      <w:r w:rsidR="008B54D4">
        <w:rPr>
          <w:color w:val="000000"/>
        </w:rPr>
        <w:t>’</w:t>
      </w:r>
      <w:r>
        <w:rPr>
          <w:color w:val="000000"/>
        </w:rPr>
        <w:t>s statutory authority to do this outside of asbestos cases</w:t>
      </w:r>
      <w:r w:rsidR="008B54D4">
        <w:rPr>
          <w:color w:val="000000"/>
        </w:rPr>
        <w:t>,</w:t>
      </w:r>
      <w:r>
        <w:rPr>
          <w:color w:val="000000"/>
        </w:rPr>
        <w:t xml:space="preserve"> </w:t>
      </w:r>
      <w:r>
        <w:rPr>
          <w:i/>
          <w:iCs/>
          <w:color w:val="000000"/>
        </w:rPr>
        <w:t>In re Metromedia Fiber Network</w:t>
      </w:r>
      <w:r w:rsidR="008B54D4">
        <w:rPr>
          <w:i/>
          <w:iCs/>
          <w:color w:val="000000"/>
        </w:rPr>
        <w:t>,</w:t>
      </w:r>
      <w:r>
        <w:rPr>
          <w:i/>
          <w:iCs/>
          <w:color w:val="000000"/>
        </w:rPr>
        <w:t xml:space="preserve"> Inc</w:t>
      </w:r>
      <w:r>
        <w:rPr>
          <w:color w:val="000000"/>
        </w:rPr>
        <w:t>.</w:t>
      </w:r>
      <w:r w:rsidR="008B54D4">
        <w:rPr>
          <w:color w:val="000000"/>
        </w:rPr>
        <w:t>,</w:t>
      </w:r>
      <w:r>
        <w:rPr>
          <w:color w:val="000000"/>
        </w:rPr>
        <w:t xml:space="preserve"> </w:t>
      </w:r>
      <w:hyperlink r:id="rId119" w:history="1">
        <w:r>
          <w:rPr>
            <w:color w:val="000000"/>
          </w:rPr>
          <w:t>416 F.3d 136</w:t>
        </w:r>
      </w:hyperlink>
      <w:r>
        <w:rPr>
          <w:color w:val="000000"/>
        </w:rPr>
        <w:t xml:space="preserve"> (2d </w:t>
      </w:r>
      <w:r w:rsidR="00E97455">
        <w:rPr>
          <w:color w:val="000000"/>
        </w:rPr>
        <w:t xml:space="preserve">Cir. </w:t>
      </w:r>
      <w:r>
        <w:rPr>
          <w:color w:val="000000"/>
        </w:rPr>
        <w:t>2005)</w:t>
      </w:r>
      <w:r w:rsidR="008B54D4">
        <w:rPr>
          <w:color w:val="000000"/>
        </w:rPr>
        <w:t>,</w:t>
      </w:r>
      <w:r>
        <w:rPr>
          <w:color w:val="000000"/>
        </w:rPr>
        <w:t xml:space="preserve"> it has not yet been required to identify any source for such authority.</w:t>
      </w:r>
    </w:p>
    <w:p w14:paraId="54713668" w14:textId="69A1D64D" w:rsidR="00A77BBD" w:rsidRDefault="00A77BBD" w:rsidP="00A77BBD">
      <w:pPr>
        <w:pStyle w:val="BodyTextFirstIndent"/>
      </w:pPr>
      <w:r>
        <w:rPr>
          <w:color w:val="000000"/>
        </w:rPr>
        <w:t>Lacking definitive guidance from our own Court of Appeals</w:t>
      </w:r>
      <w:r w:rsidR="008B54D4">
        <w:rPr>
          <w:color w:val="000000"/>
        </w:rPr>
        <w:t>,</w:t>
      </w:r>
      <w:r>
        <w:rPr>
          <w:color w:val="000000"/>
        </w:rPr>
        <w:t xml:space="preserve"> Judge </w:t>
      </w:r>
      <w:r w:rsidR="00E82FD6">
        <w:rPr>
          <w:color w:val="000000"/>
        </w:rPr>
        <w:t>Wains</w:t>
      </w:r>
      <w:r>
        <w:rPr>
          <w:color w:val="000000"/>
        </w:rPr>
        <w:t xml:space="preserve"> consulted the law in every Circuit</w:t>
      </w:r>
      <w:r w:rsidR="006A227C">
        <w:rPr>
          <w:color w:val="000000"/>
        </w:rPr>
        <w:t xml:space="preserve">.  </w:t>
      </w:r>
      <w:r>
        <w:rPr>
          <w:color w:val="000000"/>
        </w:rPr>
        <w:t xml:space="preserve">He concluded that he was statutorily authorized to approve the Section 10.7 Shareholder Release because it is “subject to 11 </w:t>
      </w:r>
      <w:r w:rsidR="00522B24">
        <w:rPr>
          <w:color w:val="000000"/>
        </w:rPr>
        <w:t xml:space="preserve">U.S.C. </w:t>
      </w:r>
      <w:r>
        <w:rPr>
          <w:color w:val="000000"/>
        </w:rPr>
        <w:t>1129(a)(1)</w:t>
      </w:r>
      <w:r w:rsidR="008B54D4">
        <w:rPr>
          <w:color w:val="000000"/>
        </w:rPr>
        <w:t>,</w:t>
      </w:r>
      <w:r>
        <w:rPr>
          <w:color w:val="000000"/>
        </w:rPr>
        <w:t xml:space="preserve"> 1123(a)(5) </w:t>
      </w:r>
      <w:r w:rsidR="00B56FD7">
        <w:rPr>
          <w:color w:val="000000"/>
        </w:rPr>
        <w:t>and</w:t>
      </w:r>
      <w:r>
        <w:rPr>
          <w:color w:val="000000"/>
        </w:rPr>
        <w:t xml:space="preserve"> (b)(6)</w:t>
      </w:r>
      <w:r w:rsidR="008B54D4">
        <w:rPr>
          <w:color w:val="000000"/>
        </w:rPr>
        <w:t>,</w:t>
      </w:r>
      <w:r>
        <w:rPr>
          <w:color w:val="000000"/>
        </w:rPr>
        <w:t xml:space="preserve"> 105</w:t>
      </w:r>
      <w:r w:rsidR="008B54D4">
        <w:rPr>
          <w:color w:val="000000"/>
        </w:rPr>
        <w:t>,</w:t>
      </w:r>
      <w:r>
        <w:rPr>
          <w:color w:val="000000"/>
        </w:rPr>
        <w:t xml:space="preserve"> and 524(e)</w:t>
      </w:r>
      <w:r w:rsidR="00FA79C1">
        <w:rPr>
          <w:color w:val="000000"/>
        </w:rPr>
        <w:t xml:space="preserve">.”  </w:t>
      </w:r>
      <w:r>
        <w:rPr>
          <w:i/>
          <w:iCs/>
          <w:color w:val="000000"/>
        </w:rPr>
        <w:t xml:space="preserve">In re </w:t>
      </w:r>
      <w:r w:rsidR="006239B5">
        <w:rPr>
          <w:i/>
          <w:iCs/>
          <w:color w:val="000000"/>
        </w:rPr>
        <w:t>Oxy</w:t>
      </w:r>
      <w:r>
        <w:rPr>
          <w:i/>
          <w:iCs/>
          <w:color w:val="000000"/>
        </w:rPr>
        <w:t xml:space="preserve"> Pharma L.P</w:t>
      </w:r>
      <w:r>
        <w:rPr>
          <w:color w:val="000000"/>
        </w:rPr>
        <w:t>.</w:t>
      </w:r>
      <w:r w:rsidR="008B54D4">
        <w:rPr>
          <w:color w:val="000000"/>
        </w:rPr>
        <w:t>,</w:t>
      </w:r>
      <w:r>
        <w:rPr>
          <w:color w:val="000000"/>
        </w:rPr>
        <w:t xml:space="preserve"> </w:t>
      </w:r>
      <w:hyperlink r:id="rId120" w:history="1">
        <w:r>
          <w:rPr>
            <w:color w:val="000000"/>
          </w:rPr>
          <w:t>2021 WL 4240974</w:t>
        </w:r>
      </w:hyperlink>
      <w:r w:rsidR="008B54D4">
        <w:rPr>
          <w:color w:val="000000"/>
        </w:rPr>
        <w:t>,</w:t>
      </w:r>
      <w:r>
        <w:rPr>
          <w:color w:val="000000"/>
        </w:rPr>
        <w:t xml:space="preserve"> at *43</w:t>
      </w:r>
      <w:r w:rsidR="006A227C">
        <w:rPr>
          <w:color w:val="000000"/>
        </w:rPr>
        <w:t xml:space="preserve">.  </w:t>
      </w:r>
      <w:r>
        <w:rPr>
          <w:color w:val="000000"/>
        </w:rPr>
        <w:t>“In other words</w:t>
      </w:r>
      <w:r w:rsidR="008B54D4">
        <w:rPr>
          <w:color w:val="000000"/>
        </w:rPr>
        <w:t>,</w:t>
      </w:r>
      <w:r>
        <w:rPr>
          <w:color w:val="000000"/>
        </w:rPr>
        <w:t>” he stated</w:t>
      </w:r>
      <w:r w:rsidR="008B54D4">
        <w:rPr>
          <w:color w:val="000000"/>
        </w:rPr>
        <w:t>,</w:t>
      </w:r>
      <w:r>
        <w:rPr>
          <w:color w:val="000000"/>
        </w:rPr>
        <w:t xml:space="preserve"> “those releases flow from a federal statutory scheme</w:t>
      </w:r>
      <w:r w:rsidR="00FA79C1">
        <w:rPr>
          <w:color w:val="000000"/>
        </w:rPr>
        <w:t xml:space="preserve">.”  </w:t>
      </w:r>
      <w:r>
        <w:rPr>
          <w:i/>
          <w:iCs/>
          <w:color w:val="000000"/>
        </w:rPr>
        <w:t>Id</w:t>
      </w:r>
      <w:r>
        <w:rPr>
          <w:color w:val="000000"/>
        </w:rPr>
        <w:t>.</w:t>
      </w:r>
    </w:p>
    <w:p w14:paraId="164121A1" w14:textId="631CCB6C" w:rsidR="00A77BBD" w:rsidRDefault="00B56FD7" w:rsidP="00A77BBD">
      <w:pPr>
        <w:pStyle w:val="BodyTextFirstIndent"/>
      </w:pPr>
      <w:r>
        <w:rPr>
          <w:color w:val="000000"/>
        </w:rPr>
        <w:t>We</w:t>
      </w:r>
      <w:r w:rsidR="00A77BBD">
        <w:rPr>
          <w:color w:val="000000"/>
        </w:rPr>
        <w:t xml:space="preserve"> appreciate that t</w:t>
      </w:r>
      <w:r>
        <w:rPr>
          <w:color w:val="000000"/>
        </w:rPr>
        <w:t xml:space="preserve">he District </w:t>
      </w:r>
      <w:r w:rsidR="00A77BBD">
        <w:rPr>
          <w:color w:val="000000"/>
        </w:rPr>
        <w:t>Court has</w:t>
      </w:r>
      <w:r w:rsidR="008B54D4">
        <w:rPr>
          <w:color w:val="000000"/>
        </w:rPr>
        <w:t>,</w:t>
      </w:r>
      <w:r w:rsidR="00A77BBD">
        <w:rPr>
          <w:color w:val="000000"/>
        </w:rPr>
        <w:t xml:space="preserve"> on a prior occasion</w:t>
      </w:r>
      <w:r w:rsidR="008B54D4">
        <w:rPr>
          <w:color w:val="000000"/>
        </w:rPr>
        <w:t>,</w:t>
      </w:r>
      <w:r w:rsidR="00A77BBD">
        <w:rPr>
          <w:color w:val="000000"/>
        </w:rPr>
        <w:t xml:space="preserve"> said exactly the same thing</w:t>
      </w:r>
      <w:r w:rsidR="008B54D4">
        <w:rPr>
          <w:color w:val="000000"/>
        </w:rPr>
        <w:t>,</w:t>
      </w:r>
      <w:r w:rsidR="00A77BBD">
        <w:rPr>
          <w:color w:val="000000"/>
        </w:rPr>
        <w:t xml:space="preserve"> using exactly the same language - albeit in the context of affirming a plan that contained an easily distinguishable injunction that barred third parties (one in particular) from bringing one specific type of claim against non-debtors (his former partners) in order to protect the integrity of bankruptcy court orders</w:t>
      </w:r>
      <w:r w:rsidR="006A227C">
        <w:rPr>
          <w:color w:val="000000"/>
        </w:rPr>
        <w:t xml:space="preserve">.  </w:t>
      </w:r>
      <w:r w:rsidR="00A77BBD">
        <w:rPr>
          <w:i/>
          <w:iCs/>
          <w:color w:val="000000"/>
        </w:rPr>
        <w:t>In re Kirwan Offices S.a.R.L.</w:t>
      </w:r>
      <w:r w:rsidR="008B54D4" w:rsidRPr="000D3228">
        <w:rPr>
          <w:color w:val="000000"/>
        </w:rPr>
        <w:t>,</w:t>
      </w:r>
      <w:hyperlink r:id="rId121" w:history="1">
        <w:r w:rsidR="00A77BBD">
          <w:rPr>
            <w:color w:val="000000"/>
          </w:rPr>
          <w:t xml:space="preserve"> 592 </w:t>
        </w:r>
        <w:r w:rsidR="00755A0D">
          <w:rPr>
            <w:color w:val="000000"/>
          </w:rPr>
          <w:t xml:space="preserve">B.R. </w:t>
        </w:r>
        <w:r w:rsidR="00A77BBD">
          <w:rPr>
            <w:color w:val="000000"/>
          </w:rPr>
          <w:t>489</w:t>
        </w:r>
        <w:r w:rsidR="008B54D4">
          <w:rPr>
            <w:color w:val="000000"/>
          </w:rPr>
          <w:t>,</w:t>
        </w:r>
        <w:r w:rsidR="00A77BBD">
          <w:rPr>
            <w:color w:val="000000"/>
          </w:rPr>
          <w:t xml:space="preserve"> 511 </w:t>
        </w:r>
      </w:hyperlink>
      <w:r w:rsidR="00A77BBD">
        <w:rPr>
          <w:color w:val="000000"/>
        </w:rPr>
        <w:t>(S.D.N.Y</w:t>
      </w:r>
      <w:r w:rsidR="006A227C">
        <w:rPr>
          <w:color w:val="000000"/>
        </w:rPr>
        <w:t xml:space="preserve">.  </w:t>
      </w:r>
      <w:r w:rsidR="00A77BBD">
        <w:rPr>
          <w:i/>
          <w:iCs/>
          <w:color w:val="000000"/>
        </w:rPr>
        <w:t>2018)</w:t>
      </w:r>
      <w:r w:rsidR="008B54D4">
        <w:rPr>
          <w:i/>
          <w:iCs/>
          <w:color w:val="000000"/>
        </w:rPr>
        <w:t>,</w:t>
      </w:r>
      <w:r w:rsidR="00A77BBD">
        <w:rPr>
          <w:i/>
          <w:iCs/>
          <w:color w:val="000000"/>
        </w:rPr>
        <w:t xml:space="preserve"> aff</w:t>
      </w:r>
      <w:r w:rsidR="008B54D4">
        <w:rPr>
          <w:i/>
          <w:iCs/>
          <w:color w:val="000000"/>
        </w:rPr>
        <w:t>’</w:t>
      </w:r>
      <w:r w:rsidR="00A77BBD">
        <w:rPr>
          <w:i/>
          <w:iCs/>
          <w:color w:val="000000"/>
        </w:rPr>
        <w:t>d sub nom</w:t>
      </w:r>
      <w:r w:rsidR="006A227C">
        <w:rPr>
          <w:i/>
          <w:iCs/>
          <w:color w:val="000000"/>
        </w:rPr>
        <w:t xml:space="preserve">.  </w:t>
      </w:r>
      <w:r w:rsidR="00A77BBD">
        <w:rPr>
          <w:i/>
          <w:iCs/>
          <w:color w:val="000000"/>
        </w:rPr>
        <w:t>In re Kirwan Offices S.a.R.L</w:t>
      </w:r>
      <w:r w:rsidR="00A77BBD">
        <w:rPr>
          <w:color w:val="000000"/>
        </w:rPr>
        <w:t>.</w:t>
      </w:r>
      <w:r w:rsidR="008B54D4">
        <w:rPr>
          <w:color w:val="000000"/>
        </w:rPr>
        <w:t>,</w:t>
      </w:r>
      <w:r w:rsidR="00A77BBD">
        <w:rPr>
          <w:color w:val="000000"/>
        </w:rPr>
        <w:t xml:space="preserve"> </w:t>
      </w:r>
      <w:hyperlink r:id="rId122" w:history="1">
        <w:r w:rsidR="00A77BBD">
          <w:rPr>
            <w:color w:val="000000"/>
          </w:rPr>
          <w:t>792 F</w:t>
        </w:r>
        <w:r w:rsidR="006A227C">
          <w:rPr>
            <w:color w:val="000000"/>
          </w:rPr>
          <w:t xml:space="preserve">. </w:t>
        </w:r>
        <w:r w:rsidR="00A77BBD">
          <w:rPr>
            <w:color w:val="000000"/>
          </w:rPr>
          <w:t>App</w:t>
        </w:r>
        <w:r w:rsidR="008B54D4">
          <w:rPr>
            <w:color w:val="000000"/>
          </w:rPr>
          <w:t>’</w:t>
        </w:r>
        <w:r w:rsidR="00A77BBD">
          <w:rPr>
            <w:color w:val="000000"/>
          </w:rPr>
          <w:t>x 99</w:t>
        </w:r>
      </w:hyperlink>
      <w:r w:rsidR="00A77BBD">
        <w:rPr>
          <w:color w:val="000000"/>
        </w:rPr>
        <w:t xml:space="preserve"> (2d </w:t>
      </w:r>
      <w:r w:rsidR="00E97455">
        <w:rPr>
          <w:color w:val="000000"/>
        </w:rPr>
        <w:t xml:space="preserve">Cir. </w:t>
      </w:r>
      <w:r w:rsidR="00A77BBD">
        <w:rPr>
          <w:color w:val="000000"/>
        </w:rPr>
        <w:t>2019)</w:t>
      </w:r>
      <w:r w:rsidR="006A227C">
        <w:rPr>
          <w:color w:val="000000"/>
        </w:rPr>
        <w:t xml:space="preserve">.  </w:t>
      </w:r>
      <w:r w:rsidR="00A77BBD">
        <w:rPr>
          <w:color w:val="000000"/>
        </w:rPr>
        <w:t xml:space="preserve">But </w:t>
      </w:r>
      <w:r>
        <w:rPr>
          <w:color w:val="000000"/>
        </w:rPr>
        <w:t xml:space="preserve">the </w:t>
      </w:r>
      <w:r w:rsidR="00A77BBD">
        <w:rPr>
          <w:i/>
          <w:iCs/>
          <w:color w:val="000000"/>
        </w:rPr>
        <w:t>Kirwan</w:t>
      </w:r>
      <w:r w:rsidR="00A77BBD">
        <w:rPr>
          <w:color w:val="000000"/>
        </w:rPr>
        <w:t xml:space="preserve"> Court did not analyze whether there was a statutory (as opposed to a jurisdictional or constitutional) basis for the injunction that was at issue in that case</w:t>
      </w:r>
      <w:r w:rsidR="006A227C">
        <w:rPr>
          <w:color w:val="000000"/>
        </w:rPr>
        <w:t xml:space="preserve">.  </w:t>
      </w:r>
      <w:r w:rsidR="00A77BBD">
        <w:rPr>
          <w:color w:val="000000"/>
        </w:rPr>
        <w:t>Indeed</w:t>
      </w:r>
      <w:r w:rsidR="008B54D4">
        <w:rPr>
          <w:color w:val="000000"/>
        </w:rPr>
        <w:t>,</w:t>
      </w:r>
      <w:r w:rsidR="00A77BBD">
        <w:rPr>
          <w:color w:val="000000"/>
        </w:rPr>
        <w:t xml:space="preserve"> no statutory argument was made.</w:t>
      </w:r>
    </w:p>
    <w:p w14:paraId="5BB3DBE7" w14:textId="09728529" w:rsidR="00A77BBD" w:rsidRDefault="00A77BBD" w:rsidP="00A77BBD">
      <w:pPr>
        <w:pStyle w:val="BodyTextFirstIndent"/>
      </w:pPr>
      <w:r>
        <w:rPr>
          <w:color w:val="000000"/>
        </w:rPr>
        <w:t>In this case</w:t>
      </w:r>
      <w:r w:rsidR="008B54D4">
        <w:rPr>
          <w:color w:val="000000"/>
        </w:rPr>
        <w:t>,</w:t>
      </w:r>
      <w:r>
        <w:rPr>
          <w:color w:val="000000"/>
        </w:rPr>
        <w:t xml:space="preserve"> however</w:t>
      </w:r>
      <w:r w:rsidR="008B54D4">
        <w:rPr>
          <w:color w:val="000000"/>
        </w:rPr>
        <w:t>,</w:t>
      </w:r>
      <w:r>
        <w:rPr>
          <w:color w:val="000000"/>
        </w:rPr>
        <w:t xml:space="preserve"> Appell</w:t>
      </w:r>
      <w:r w:rsidR="00B56FD7">
        <w:rPr>
          <w:color w:val="000000"/>
        </w:rPr>
        <w:t>ees</w:t>
      </w:r>
      <w:r>
        <w:rPr>
          <w:color w:val="000000"/>
        </w:rPr>
        <w:t xml:space="preserve"> - most particularly</w:t>
      </w:r>
      <w:r w:rsidR="008B54D4">
        <w:rPr>
          <w:color w:val="000000"/>
        </w:rPr>
        <w:t>,</w:t>
      </w:r>
      <w:r>
        <w:rPr>
          <w:color w:val="000000"/>
        </w:rPr>
        <w:t xml:space="preserve"> the </w:t>
      </w:r>
      <w:r w:rsidR="002F10FB">
        <w:rPr>
          <w:color w:val="000000"/>
        </w:rPr>
        <w:t xml:space="preserve">U.S. </w:t>
      </w:r>
      <w:r>
        <w:rPr>
          <w:color w:val="000000"/>
        </w:rPr>
        <w:t>Trustee - have attack</w:t>
      </w:r>
      <w:r w:rsidR="00B56FD7">
        <w:rPr>
          <w:color w:val="000000"/>
        </w:rPr>
        <w:t xml:space="preserve">ed </w:t>
      </w:r>
      <w:r>
        <w:rPr>
          <w:color w:val="000000"/>
        </w:rPr>
        <w:t xml:space="preserve"> </w:t>
      </w:r>
      <w:r w:rsidR="00B56FD7">
        <w:rPr>
          <w:color w:val="000000"/>
        </w:rPr>
        <w:t>the Bankruptcy</w:t>
      </w:r>
      <w:r>
        <w:rPr>
          <w:color w:val="000000"/>
        </w:rPr>
        <w:t xml:space="preserve"> </w:t>
      </w:r>
      <w:r w:rsidR="00B56FD7">
        <w:rPr>
          <w:color w:val="000000"/>
        </w:rPr>
        <w:t>C</w:t>
      </w:r>
      <w:r>
        <w:rPr>
          <w:color w:val="000000"/>
        </w:rPr>
        <w:t>ourt</w:t>
      </w:r>
      <w:r w:rsidR="008B54D4">
        <w:rPr>
          <w:color w:val="000000"/>
        </w:rPr>
        <w:t>’</w:t>
      </w:r>
      <w:r>
        <w:rPr>
          <w:color w:val="000000"/>
        </w:rPr>
        <w:t>s statutory authority to release third-party claims against non-debtors in connection with someone else</w:t>
      </w:r>
      <w:r w:rsidR="008B54D4">
        <w:rPr>
          <w:color w:val="000000"/>
        </w:rPr>
        <w:t>’</w:t>
      </w:r>
      <w:r>
        <w:rPr>
          <w:color w:val="000000"/>
        </w:rPr>
        <w:t>s bankruptcy.</w:t>
      </w:r>
    </w:p>
    <w:p w14:paraId="1E081286" w14:textId="63E1C339" w:rsidR="00A77BBD" w:rsidRDefault="00A77BBD" w:rsidP="00A77BBD">
      <w:pPr>
        <w:pStyle w:val="BodyTextFirstIndent"/>
      </w:pPr>
      <w:r>
        <w:rPr>
          <w:color w:val="000000"/>
        </w:rPr>
        <w:t>With the benefit of full briefing and extensive argument from experienced counsel</w:t>
      </w:r>
      <w:r w:rsidR="008B54D4">
        <w:rPr>
          <w:color w:val="000000"/>
        </w:rPr>
        <w:t>,</w:t>
      </w:r>
      <w:r>
        <w:rPr>
          <w:color w:val="000000"/>
        </w:rPr>
        <w:t xml:space="preserve"> it is possible to decide whether a court adjudicating a bankruptcy case has the power to release third- party claims against non-debtors</w:t>
      </w:r>
      <w:r w:rsidR="006A227C">
        <w:rPr>
          <w:color w:val="000000"/>
        </w:rPr>
        <w:t xml:space="preserve">.  </w:t>
      </w:r>
      <w:r>
        <w:rPr>
          <w:color w:val="000000"/>
        </w:rPr>
        <w:t>Moreover</w:t>
      </w:r>
      <w:r w:rsidR="008B54D4">
        <w:rPr>
          <w:color w:val="000000"/>
        </w:rPr>
        <w:t>,</w:t>
      </w:r>
      <w:r>
        <w:rPr>
          <w:color w:val="000000"/>
        </w:rPr>
        <w:t xml:space="preserve"> it is necessary to reach a conclusion on this subject before delving into constitutional issues that need not be reached if Appell</w:t>
      </w:r>
      <w:r w:rsidR="00B56FD7">
        <w:rPr>
          <w:color w:val="000000"/>
        </w:rPr>
        <w:t>ee</w:t>
      </w:r>
      <w:r>
        <w:rPr>
          <w:color w:val="000000"/>
        </w:rPr>
        <w:t>s are correct.</w:t>
      </w:r>
    </w:p>
    <w:p w14:paraId="4D0C0607" w14:textId="08059688" w:rsidR="00A77BBD" w:rsidRDefault="00B56FD7" w:rsidP="00A77BBD">
      <w:pPr>
        <w:pStyle w:val="BodyTextFirstIndent"/>
      </w:pPr>
      <w:r>
        <w:rPr>
          <w:color w:val="000000"/>
        </w:rPr>
        <w:t>We</w:t>
      </w:r>
      <w:r w:rsidR="00A77BBD">
        <w:rPr>
          <w:color w:val="000000"/>
        </w:rPr>
        <w:t xml:space="preserve"> conclude that the sections of the Code on which the Bankruptcy </w:t>
      </w:r>
      <w:r>
        <w:rPr>
          <w:color w:val="000000"/>
        </w:rPr>
        <w:t xml:space="preserve">Court </w:t>
      </w:r>
      <w:r w:rsidR="00A77BBD">
        <w:rPr>
          <w:color w:val="000000"/>
        </w:rPr>
        <w:t>explicitly relied</w:t>
      </w:r>
      <w:r w:rsidR="008B54D4">
        <w:rPr>
          <w:color w:val="000000"/>
        </w:rPr>
        <w:t>,</w:t>
      </w:r>
      <w:r w:rsidR="00A77BBD">
        <w:rPr>
          <w:color w:val="000000"/>
        </w:rPr>
        <w:t xml:space="preserve"> whether read separately or together</w:t>
      </w:r>
      <w:r w:rsidR="008B54D4">
        <w:rPr>
          <w:color w:val="000000"/>
        </w:rPr>
        <w:t>,</w:t>
      </w:r>
      <w:r w:rsidR="00A77BBD">
        <w:rPr>
          <w:color w:val="000000"/>
        </w:rPr>
        <w:t xml:space="preserve"> do not confer on any court the power to approve the release of non-derivative third-party claims against non-debtors</w:t>
      </w:r>
      <w:r w:rsidR="008B54D4">
        <w:rPr>
          <w:color w:val="000000"/>
        </w:rPr>
        <w:t>,</w:t>
      </w:r>
      <w:r w:rsidR="00A77BBD">
        <w:rPr>
          <w:color w:val="000000"/>
        </w:rPr>
        <w:t xml:space="preserve"> including specifically the Section</w:t>
      </w:r>
      <w:r w:rsidR="000D3228">
        <w:rPr>
          <w:color w:val="000000"/>
        </w:rPr>
        <w:t xml:space="preserve"> </w:t>
      </w:r>
      <w:r w:rsidR="00A77BBD">
        <w:rPr>
          <w:color w:val="000000"/>
        </w:rPr>
        <w:t>10.7</w:t>
      </w:r>
      <w:r w:rsidR="00DE7588">
        <w:rPr>
          <w:color w:val="000000"/>
        </w:rPr>
        <w:t xml:space="preserve"> </w:t>
      </w:r>
      <w:r w:rsidR="00A77BBD">
        <w:rPr>
          <w:color w:val="000000"/>
        </w:rPr>
        <w:t xml:space="preserve">Shareholder Release </w:t>
      </w:r>
      <w:r>
        <w:rPr>
          <w:color w:val="000000"/>
        </w:rPr>
        <w:t>at issue</w:t>
      </w:r>
      <w:r w:rsidR="00A77BBD">
        <w:rPr>
          <w:color w:val="000000"/>
        </w:rPr>
        <w:t xml:space="preserve"> on this appeal.</w:t>
      </w:r>
    </w:p>
    <w:p w14:paraId="61501D39" w14:textId="04F1D494" w:rsidR="00A77BBD" w:rsidRDefault="00A77BBD" w:rsidP="00A77BBD">
      <w:pPr>
        <w:pStyle w:val="BodyTextFirstIndent"/>
      </w:pPr>
      <w:r>
        <w:rPr>
          <w:color w:val="000000"/>
        </w:rPr>
        <w:t>As no party has pointed to any other section of the Bankruptcy Code that confers such authority</w:t>
      </w:r>
      <w:r w:rsidR="008B54D4">
        <w:rPr>
          <w:color w:val="000000"/>
        </w:rPr>
        <w:t>,</w:t>
      </w:r>
      <w:r>
        <w:rPr>
          <w:color w:val="000000"/>
        </w:rPr>
        <w:t xml:space="preserve"> </w:t>
      </w:r>
      <w:r w:rsidR="00B56FD7">
        <w:rPr>
          <w:color w:val="000000"/>
        </w:rPr>
        <w:t>we</w:t>
      </w:r>
      <w:r>
        <w:rPr>
          <w:color w:val="000000"/>
        </w:rPr>
        <w:t xml:space="preserve"> conclude that such approval is not authorized by statute.</w:t>
      </w:r>
    </w:p>
    <w:p w14:paraId="5053B6EB" w14:textId="103C0AD8" w:rsidR="00A77BBD" w:rsidRDefault="00A77BBD" w:rsidP="00A77BBD">
      <w:pPr>
        <w:pStyle w:val="BodyTextFirstIndent"/>
      </w:pPr>
      <w:r>
        <w:rPr>
          <w:b/>
          <w:bCs/>
          <w:color w:val="000000"/>
          <w:u w:val="single"/>
        </w:rPr>
        <w:t>A Caveat and Some Definitions</w:t>
      </w:r>
      <w:r>
        <w:rPr>
          <w:color w:val="000000"/>
        </w:rPr>
        <w:t xml:space="preserve">:  </w:t>
      </w:r>
      <w:r w:rsidR="00B56FD7">
        <w:rPr>
          <w:color w:val="000000"/>
        </w:rPr>
        <w:t xml:space="preserve">We </w:t>
      </w:r>
      <w:r>
        <w:rPr>
          <w:color w:val="000000"/>
        </w:rPr>
        <w:t>begin this discussion with a caveat</w:t>
      </w:r>
      <w:r w:rsidR="006A227C">
        <w:rPr>
          <w:color w:val="000000"/>
        </w:rPr>
        <w:t xml:space="preserve">.  </w:t>
      </w:r>
      <w:r>
        <w:rPr>
          <w:color w:val="000000"/>
        </w:rPr>
        <w:t>The topic under discussion is a bankruptcy court</w:t>
      </w:r>
      <w:r w:rsidR="008B54D4">
        <w:rPr>
          <w:color w:val="000000"/>
        </w:rPr>
        <w:t>’</w:t>
      </w:r>
      <w:r>
        <w:rPr>
          <w:color w:val="000000"/>
        </w:rPr>
        <w:t>s power to release</w:t>
      </w:r>
      <w:r w:rsidR="008B54D4">
        <w:rPr>
          <w:color w:val="000000"/>
        </w:rPr>
        <w:t>,</w:t>
      </w:r>
      <w:r>
        <w:rPr>
          <w:color w:val="000000"/>
        </w:rPr>
        <w:t xml:space="preserve"> on a non-consensual basis</w:t>
      </w:r>
      <w:r w:rsidR="008B54D4">
        <w:rPr>
          <w:color w:val="000000"/>
        </w:rPr>
        <w:t>,</w:t>
      </w:r>
      <w:r>
        <w:rPr>
          <w:color w:val="000000"/>
        </w:rPr>
        <w:t xml:space="preserve"> </w:t>
      </w:r>
      <w:r>
        <w:rPr>
          <w:i/>
          <w:iCs/>
          <w:color w:val="000000"/>
        </w:rPr>
        <w:t>direct/particularized</w:t>
      </w:r>
      <w:r>
        <w:rPr>
          <w:color w:val="000000"/>
        </w:rPr>
        <w:t xml:space="preserve"> claims asserted </w:t>
      </w:r>
      <w:r>
        <w:rPr>
          <w:i/>
          <w:iCs/>
          <w:color w:val="000000"/>
        </w:rPr>
        <w:t>by third parties</w:t>
      </w:r>
      <w:r>
        <w:rPr>
          <w:color w:val="000000"/>
        </w:rPr>
        <w:t xml:space="preserve"> against </w:t>
      </w:r>
      <w:r>
        <w:rPr>
          <w:i/>
          <w:iCs/>
          <w:color w:val="000000"/>
        </w:rPr>
        <w:t>non-debtors</w:t>
      </w:r>
      <w:r>
        <w:rPr>
          <w:color w:val="000000"/>
        </w:rPr>
        <w:t xml:space="preserve"> pursuant to the Section</w:t>
      </w:r>
      <w:r w:rsidR="000D3228">
        <w:rPr>
          <w:color w:val="000000"/>
        </w:rPr>
        <w:t xml:space="preserve"> </w:t>
      </w:r>
      <w:r>
        <w:rPr>
          <w:color w:val="000000"/>
        </w:rPr>
        <w:t>10.7</w:t>
      </w:r>
      <w:r w:rsidR="00C043F0">
        <w:rPr>
          <w:color w:val="000000"/>
        </w:rPr>
        <w:t xml:space="preserve"> </w:t>
      </w:r>
      <w:r>
        <w:rPr>
          <w:color w:val="000000"/>
        </w:rPr>
        <w:t>Shareholder Release</w:t>
      </w:r>
      <w:r w:rsidR="006A227C">
        <w:rPr>
          <w:color w:val="000000"/>
        </w:rPr>
        <w:t xml:space="preserve">.  </w:t>
      </w:r>
      <w:r>
        <w:rPr>
          <w:color w:val="000000"/>
        </w:rPr>
        <w:t xml:space="preserve">This speaks to a very narrow range of claims that might be asserted against the </w:t>
      </w:r>
      <w:r w:rsidR="00E82FD6">
        <w:rPr>
          <w:color w:val="000000"/>
        </w:rPr>
        <w:t>Packler</w:t>
      </w:r>
      <w:r>
        <w:rPr>
          <w:color w:val="000000"/>
        </w:rPr>
        <w:t>s.</w:t>
      </w:r>
    </w:p>
    <w:p w14:paraId="464BA63F" w14:textId="2A66A77D" w:rsidR="00A77BBD" w:rsidRDefault="00A77BBD" w:rsidP="00A77BBD">
      <w:pPr>
        <w:pStyle w:val="BodyTextFirstIndent"/>
      </w:pPr>
      <w:r>
        <w:rPr>
          <w:color w:val="000000"/>
        </w:rPr>
        <w:t>For these purposes</w:t>
      </w:r>
      <w:r w:rsidR="008B54D4">
        <w:rPr>
          <w:color w:val="000000"/>
        </w:rPr>
        <w:t>,</w:t>
      </w:r>
      <w:r>
        <w:rPr>
          <w:color w:val="000000"/>
        </w:rPr>
        <w:t xml:space="preserve"> by derivative claims</w:t>
      </w:r>
      <w:r w:rsidR="008B54D4">
        <w:rPr>
          <w:color w:val="000000"/>
        </w:rPr>
        <w:t>,</w:t>
      </w:r>
      <w:r>
        <w:rPr>
          <w:color w:val="000000"/>
        </w:rPr>
        <w:t xml:space="preserve"> </w:t>
      </w:r>
      <w:r w:rsidR="00B56FD7">
        <w:rPr>
          <w:color w:val="000000"/>
        </w:rPr>
        <w:t xml:space="preserve">we </w:t>
      </w:r>
      <w:r>
        <w:rPr>
          <w:color w:val="000000"/>
        </w:rPr>
        <w:t xml:space="preserve">mean claims that would render the </w:t>
      </w:r>
      <w:r w:rsidR="00E82FD6">
        <w:rPr>
          <w:color w:val="000000"/>
        </w:rPr>
        <w:t>Packler</w:t>
      </w:r>
      <w:r>
        <w:rPr>
          <w:color w:val="000000"/>
        </w:rPr>
        <w:t xml:space="preserve">s liable because of </w:t>
      </w:r>
      <w:r w:rsidR="006239B5">
        <w:rPr>
          <w:color w:val="000000"/>
        </w:rPr>
        <w:t>Oxy</w:t>
      </w:r>
      <w:r w:rsidR="008B54D4">
        <w:rPr>
          <w:color w:val="000000"/>
        </w:rPr>
        <w:t>’</w:t>
      </w:r>
      <w:r>
        <w:rPr>
          <w:color w:val="000000"/>
        </w:rPr>
        <w:t xml:space="preserve">s actions (which conduct may or may not have been committed because of the </w:t>
      </w:r>
      <w:r w:rsidR="00E82FD6">
        <w:rPr>
          <w:color w:val="000000"/>
        </w:rPr>
        <w:t>Packler</w:t>
      </w:r>
      <w:r>
        <w:rPr>
          <w:color w:val="000000"/>
        </w:rPr>
        <w:t>s)</w:t>
      </w:r>
      <w:r w:rsidR="006A227C">
        <w:rPr>
          <w:color w:val="000000"/>
        </w:rPr>
        <w:t xml:space="preserve">.  </w:t>
      </w:r>
      <w:r>
        <w:rPr>
          <w:color w:val="000000"/>
        </w:rPr>
        <w:t>“Derivative” claims are those seek to recover from the estate indirectly “on the basis of [the debtor</w:t>
      </w:r>
      <w:r w:rsidR="008B54D4">
        <w:rPr>
          <w:color w:val="000000"/>
        </w:rPr>
        <w:t>’</w:t>
      </w:r>
      <w:r>
        <w:rPr>
          <w:color w:val="000000"/>
        </w:rPr>
        <w:t>s] conduct</w:t>
      </w:r>
      <w:r w:rsidR="008B54D4">
        <w:rPr>
          <w:color w:val="000000"/>
        </w:rPr>
        <w:t>,</w:t>
      </w:r>
      <w:r>
        <w:rPr>
          <w:color w:val="000000"/>
        </w:rPr>
        <w:t>” as opposed to the non-debtor</w:t>
      </w:r>
      <w:r w:rsidR="008B54D4">
        <w:rPr>
          <w:color w:val="000000"/>
        </w:rPr>
        <w:t>’</w:t>
      </w:r>
      <w:r>
        <w:rPr>
          <w:color w:val="000000"/>
        </w:rPr>
        <w:t>s own condu</w:t>
      </w:r>
      <w:r w:rsidR="000D3228">
        <w:rPr>
          <w:color w:val="000000"/>
        </w:rPr>
        <w:t>c</w:t>
      </w:r>
      <w:r w:rsidR="004F2BA9">
        <w:rPr>
          <w:color w:val="000000"/>
        </w:rPr>
        <w:t xml:space="preserve">t. </w:t>
      </w:r>
      <w:r w:rsidR="000D3228">
        <w:rPr>
          <w:color w:val="000000"/>
        </w:rPr>
        <w:t xml:space="preserve"> </w:t>
      </w:r>
      <w:r>
        <w:rPr>
          <w:i/>
          <w:iCs/>
          <w:color w:val="000000"/>
        </w:rPr>
        <w:t>Manville III</w:t>
      </w:r>
      <w:r w:rsidR="008B54D4">
        <w:rPr>
          <w:color w:val="000000"/>
        </w:rPr>
        <w:t>,</w:t>
      </w:r>
      <w:r>
        <w:rPr>
          <w:color w:val="000000"/>
        </w:rPr>
        <w:t xml:space="preserve"> </w:t>
      </w:r>
      <w:hyperlink r:id="rId123" w:history="1">
        <w:r>
          <w:rPr>
            <w:color w:val="000000"/>
          </w:rPr>
          <w:t>517</w:t>
        </w:r>
      </w:hyperlink>
      <w:r w:rsidR="000D3228">
        <w:rPr>
          <w:color w:val="000000"/>
        </w:rPr>
        <w:t xml:space="preserve"> </w:t>
      </w:r>
      <w:hyperlink r:id="rId124" w:history="1">
        <w:r>
          <w:rPr>
            <w:color w:val="000000"/>
          </w:rPr>
          <w:t xml:space="preserve">F.3d at 62 </w:t>
        </w:r>
      </w:hyperlink>
      <w:r>
        <w:rPr>
          <w:color w:val="000000"/>
        </w:rPr>
        <w:t xml:space="preserve">(quoting </w:t>
      </w:r>
      <w:r>
        <w:rPr>
          <w:i/>
          <w:iCs/>
          <w:color w:val="000000"/>
        </w:rPr>
        <w:t>MacArthur Co</w:t>
      </w:r>
      <w:r w:rsidR="006A227C">
        <w:rPr>
          <w:i/>
          <w:iCs/>
          <w:color w:val="000000"/>
        </w:rPr>
        <w:t>.</w:t>
      </w:r>
      <w:r w:rsidR="00E150C1">
        <w:rPr>
          <w:i/>
          <w:iCs/>
          <w:color w:val="000000"/>
        </w:rPr>
        <w:t xml:space="preserve"> v. </w:t>
      </w:r>
      <w:r>
        <w:rPr>
          <w:i/>
          <w:iCs/>
          <w:color w:val="000000"/>
        </w:rPr>
        <w:t>Johns-Manville Corp</w:t>
      </w:r>
      <w:r>
        <w:rPr>
          <w:color w:val="000000"/>
        </w:rPr>
        <w:t>.</w:t>
      </w:r>
      <w:r w:rsidR="008B54D4">
        <w:rPr>
          <w:color w:val="000000"/>
        </w:rPr>
        <w:t>,</w:t>
      </w:r>
      <w:r>
        <w:rPr>
          <w:color w:val="000000"/>
        </w:rPr>
        <w:t xml:space="preserve"> </w:t>
      </w:r>
      <w:hyperlink r:id="rId125" w:history="1">
        <w:r>
          <w:rPr>
            <w:color w:val="000000"/>
          </w:rPr>
          <w:t>837 F.2d 89</w:t>
        </w:r>
      </w:hyperlink>
      <w:r>
        <w:rPr>
          <w:color w:val="000000"/>
        </w:rPr>
        <w:t xml:space="preserve"> (2d </w:t>
      </w:r>
      <w:r w:rsidR="00E97455">
        <w:rPr>
          <w:color w:val="000000"/>
        </w:rPr>
        <w:t xml:space="preserve">Cir. </w:t>
      </w:r>
      <w:r>
        <w:rPr>
          <w:color w:val="000000"/>
        </w:rPr>
        <w:t>1988))</w:t>
      </w:r>
      <w:r w:rsidR="006A227C">
        <w:rPr>
          <w:color w:val="000000"/>
        </w:rPr>
        <w:t xml:space="preserve">.  </w:t>
      </w:r>
      <w:r>
        <w:rPr>
          <w:color w:val="000000"/>
        </w:rPr>
        <w:t>Derivative claims in every sense relate to the adjustment of the debtor-creditor relationship</w:t>
      </w:r>
      <w:r w:rsidR="008B54D4">
        <w:rPr>
          <w:color w:val="000000"/>
        </w:rPr>
        <w:t>,</w:t>
      </w:r>
      <w:r>
        <w:rPr>
          <w:color w:val="000000"/>
        </w:rPr>
        <w:t xml:space="preserve"> because they are claims that relate to injury to the corporation itself</w:t>
      </w:r>
      <w:r w:rsidR="006A227C">
        <w:rPr>
          <w:color w:val="000000"/>
        </w:rPr>
        <w:t xml:space="preserve">.  </w:t>
      </w:r>
      <w:r>
        <w:rPr>
          <w:color w:val="000000"/>
        </w:rPr>
        <w:t xml:space="preserve">If </w:t>
      </w:r>
      <w:r w:rsidR="00B56FD7">
        <w:rPr>
          <w:color w:val="000000"/>
        </w:rPr>
        <w:t>t</w:t>
      </w:r>
      <w:r>
        <w:rPr>
          <w:color w:val="000000"/>
        </w:rPr>
        <w:t>he creditor</w:t>
      </w:r>
      <w:r w:rsidR="008B54D4">
        <w:rPr>
          <w:color w:val="000000"/>
        </w:rPr>
        <w:t>’</w:t>
      </w:r>
      <w:r>
        <w:rPr>
          <w:color w:val="000000"/>
        </w:rPr>
        <w:t>s claim is one that a bankruptcy trustee could bring on behalf of the estate</w:t>
      </w:r>
      <w:r w:rsidR="008B54D4">
        <w:rPr>
          <w:color w:val="000000"/>
        </w:rPr>
        <w:t>,</w:t>
      </w:r>
      <w:r>
        <w:rPr>
          <w:color w:val="000000"/>
        </w:rPr>
        <w:t xml:space="preserve"> then it is derivative</w:t>
      </w:r>
      <w:r w:rsidR="006A227C">
        <w:rPr>
          <w:color w:val="000000"/>
        </w:rPr>
        <w:t xml:space="preserve">.  </w:t>
      </w:r>
      <w:r>
        <w:rPr>
          <w:i/>
          <w:iCs/>
          <w:color w:val="000000"/>
        </w:rPr>
        <w:t>Madoff</w:t>
      </w:r>
      <w:r w:rsidR="008B54D4">
        <w:rPr>
          <w:color w:val="000000"/>
        </w:rPr>
        <w:t>,</w:t>
      </w:r>
      <w:r>
        <w:rPr>
          <w:color w:val="000000"/>
        </w:rPr>
        <w:t xml:space="preserve"> </w:t>
      </w:r>
      <w:hyperlink r:id="rId126" w:history="1">
        <w:r>
          <w:rPr>
            <w:color w:val="000000"/>
          </w:rPr>
          <w:t>40 F.3d</w:t>
        </w:r>
      </w:hyperlink>
      <w:r>
        <w:rPr>
          <w:color w:val="000000"/>
        </w:rPr>
        <w:t xml:space="preserve"> </w:t>
      </w:r>
      <w:hyperlink r:id="rId127" w:history="1">
        <w:r>
          <w:rPr>
            <w:color w:val="000000"/>
          </w:rPr>
          <w:t>at 90</w:t>
        </w:r>
      </w:hyperlink>
      <w:r>
        <w:rPr>
          <w:color w:val="000000"/>
        </w:rPr>
        <w:t>.</w:t>
      </w:r>
    </w:p>
    <w:p w14:paraId="5F35A2B1" w14:textId="4681F2B1" w:rsidR="00A77BBD" w:rsidRDefault="00A77BBD" w:rsidP="00A77BBD">
      <w:pPr>
        <w:pStyle w:val="BodyTextFirstIndent"/>
      </w:pPr>
      <w:r>
        <w:rPr>
          <w:color w:val="000000"/>
        </w:rPr>
        <w:t>By direct claims</w:t>
      </w:r>
      <w:r w:rsidR="008B54D4">
        <w:rPr>
          <w:color w:val="000000"/>
        </w:rPr>
        <w:t>,</w:t>
      </w:r>
      <w:r>
        <w:rPr>
          <w:color w:val="000000"/>
        </w:rPr>
        <w:t xml:space="preserve"> </w:t>
      </w:r>
      <w:r w:rsidR="00B56FD7">
        <w:rPr>
          <w:color w:val="000000"/>
        </w:rPr>
        <w:t xml:space="preserve">we </w:t>
      </w:r>
      <w:r>
        <w:rPr>
          <w:color w:val="000000"/>
        </w:rPr>
        <w:t xml:space="preserve">mean claims that are not derivative of </w:t>
      </w:r>
      <w:r w:rsidR="006239B5">
        <w:rPr>
          <w:color w:val="000000"/>
        </w:rPr>
        <w:t>Oxy</w:t>
      </w:r>
      <w:r w:rsidR="008B54D4">
        <w:rPr>
          <w:color w:val="000000"/>
        </w:rPr>
        <w:t>’</w:t>
      </w:r>
      <w:r>
        <w:rPr>
          <w:color w:val="000000"/>
        </w:rPr>
        <w:t>s liability</w:t>
      </w:r>
      <w:r w:rsidR="008B54D4">
        <w:rPr>
          <w:color w:val="000000"/>
        </w:rPr>
        <w:t>,</w:t>
      </w:r>
      <w:r>
        <w:rPr>
          <w:color w:val="000000"/>
        </w:rPr>
        <w:t xml:space="preserve"> but are based on the </w:t>
      </w:r>
      <w:r w:rsidR="00E82FD6">
        <w:rPr>
          <w:color w:val="000000"/>
        </w:rPr>
        <w:t>Packler</w:t>
      </w:r>
      <w:r>
        <w:rPr>
          <w:color w:val="000000"/>
        </w:rPr>
        <w:t>s</w:t>
      </w:r>
      <w:r w:rsidR="008B54D4">
        <w:rPr>
          <w:color w:val="000000"/>
        </w:rPr>
        <w:t>’</w:t>
      </w:r>
      <w:r>
        <w:rPr>
          <w:color w:val="000000"/>
        </w:rPr>
        <w:t xml:space="preserve"> own</w:t>
      </w:r>
      <w:r w:rsidR="00B56FD7">
        <w:rPr>
          <w:color w:val="000000"/>
        </w:rPr>
        <w:t xml:space="preserve"> </w:t>
      </w:r>
      <w:r>
        <w:rPr>
          <w:color w:val="000000"/>
        </w:rPr>
        <w:t>individual liability</w:t>
      </w:r>
      <w:r w:rsidR="008B54D4">
        <w:rPr>
          <w:color w:val="000000"/>
        </w:rPr>
        <w:t>,</w:t>
      </w:r>
      <w:r>
        <w:rPr>
          <w:color w:val="000000"/>
        </w:rPr>
        <w:t xml:space="preserve"> predicated on their own alleged mis</w:t>
      </w:r>
      <w:r w:rsidR="000D3228">
        <w:rPr>
          <w:color w:val="000000"/>
        </w:rPr>
        <w:t>conduct</w:t>
      </w:r>
      <w:r>
        <w:rPr>
          <w:color w:val="000000"/>
        </w:rPr>
        <w:t xml:space="preserve"> and the breach of duties owed to claimants other than </w:t>
      </w:r>
      <w:r w:rsidR="006239B5">
        <w:rPr>
          <w:color w:val="000000"/>
        </w:rPr>
        <w:t>Oxy</w:t>
      </w:r>
      <w:r w:rsidR="006A227C">
        <w:rPr>
          <w:color w:val="000000"/>
        </w:rPr>
        <w:t xml:space="preserve">.  </w:t>
      </w:r>
      <w:r>
        <w:rPr>
          <w:color w:val="000000"/>
        </w:rPr>
        <w:t>“Direct” claims are based upon a “particularized” injury to a third party that can be directly traced to a non-debtor</w:t>
      </w:r>
      <w:r w:rsidR="008B54D4">
        <w:rPr>
          <w:color w:val="000000"/>
        </w:rPr>
        <w:t>’</w:t>
      </w:r>
      <w:r>
        <w:rPr>
          <w:color w:val="000000"/>
        </w:rPr>
        <w:t xml:space="preserve">s </w:t>
      </w:r>
      <w:r w:rsidR="000D3228">
        <w:rPr>
          <w:color w:val="000000"/>
        </w:rPr>
        <w:t>conduct</w:t>
      </w:r>
      <w:r w:rsidR="004F2BA9">
        <w:rPr>
          <w:color w:val="000000"/>
        </w:rPr>
        <w:t xml:space="preserve">. </w:t>
      </w:r>
      <w:r w:rsidR="000D3228">
        <w:rPr>
          <w:color w:val="000000"/>
        </w:rPr>
        <w:t xml:space="preserve"> </w:t>
      </w:r>
      <w:r>
        <w:rPr>
          <w:i/>
          <w:iCs/>
          <w:color w:val="000000"/>
        </w:rPr>
        <w:t>Id</w:t>
      </w:r>
      <w:r>
        <w:rPr>
          <w:color w:val="000000"/>
        </w:rPr>
        <w:t>.</w:t>
      </w:r>
    </w:p>
    <w:p w14:paraId="27AF380B" w14:textId="162F5040" w:rsidR="00A77BBD" w:rsidRDefault="00A77BBD" w:rsidP="00A77BBD">
      <w:pPr>
        <w:pStyle w:val="BodyTextFirstIndent"/>
      </w:pPr>
      <w:r>
        <w:rPr>
          <w:color w:val="000000"/>
        </w:rPr>
        <w:t xml:space="preserve">The release of claims against the </w:t>
      </w:r>
      <w:r w:rsidR="00E82FD6">
        <w:rPr>
          <w:color w:val="000000"/>
        </w:rPr>
        <w:t>Packler</w:t>
      </w:r>
      <w:r>
        <w:rPr>
          <w:color w:val="000000"/>
        </w:rPr>
        <w:t>s that are derivative of the estate</w:t>
      </w:r>
      <w:r w:rsidR="008B54D4">
        <w:rPr>
          <w:color w:val="000000"/>
        </w:rPr>
        <w:t>’</w:t>
      </w:r>
      <w:r>
        <w:rPr>
          <w:color w:val="000000"/>
        </w:rPr>
        <w:t>s claims them is effected by Section 10.6(b) of the Plan</w:t>
      </w:r>
      <w:r w:rsidR="008B54D4">
        <w:rPr>
          <w:color w:val="000000"/>
        </w:rPr>
        <w:t>,</w:t>
      </w:r>
      <w:r>
        <w:rPr>
          <w:color w:val="000000"/>
        </w:rPr>
        <w:t xml:space="preserve"> which is not </w:t>
      </w:r>
      <w:r w:rsidR="00DE7588">
        <w:rPr>
          <w:color w:val="000000"/>
        </w:rPr>
        <w:t>challeng</w:t>
      </w:r>
      <w:r w:rsidRPr="00DE7588">
        <w:rPr>
          <w:color w:val="000000"/>
        </w:rPr>
        <w:t>ed</w:t>
      </w:r>
      <w:r>
        <w:rPr>
          <w:color w:val="000000"/>
        </w:rPr>
        <w:t xml:space="preserve"> as being beyond the power of the Bankruptcy Court.</w:t>
      </w:r>
    </w:p>
    <w:p w14:paraId="3477D071" w14:textId="77777777" w:rsidR="00DE7588" w:rsidRDefault="00A77BBD" w:rsidP="00A77BBD">
      <w:pPr>
        <w:pStyle w:val="BodyTextFirstIndent"/>
        <w:rPr>
          <w:color w:val="000000"/>
        </w:rPr>
      </w:pPr>
      <w:r>
        <w:rPr>
          <w:color w:val="000000"/>
        </w:rPr>
        <w:t>The Section 10.7 Shareholder Release under attack is different</w:t>
      </w:r>
      <w:r w:rsidR="006A227C">
        <w:rPr>
          <w:color w:val="000000"/>
        </w:rPr>
        <w:t xml:space="preserve">.  </w:t>
      </w:r>
      <w:r>
        <w:rPr>
          <w:color w:val="000000"/>
        </w:rPr>
        <w:t xml:space="preserve">It releases all members of the </w:t>
      </w:r>
      <w:r w:rsidR="00E82FD6">
        <w:rPr>
          <w:color w:val="000000"/>
        </w:rPr>
        <w:t>Packler</w:t>
      </w:r>
      <w:r>
        <w:rPr>
          <w:color w:val="000000"/>
        </w:rPr>
        <w:t xml:space="preserve"> families</w:t>
      </w:r>
      <w:r w:rsidR="008B54D4">
        <w:rPr>
          <w:color w:val="000000"/>
        </w:rPr>
        <w:t>,</w:t>
      </w:r>
      <w:r>
        <w:rPr>
          <w:color w:val="000000"/>
        </w:rPr>
        <w:t xml:space="preserve"> as well as a variety of trusts</w:t>
      </w:r>
      <w:r w:rsidR="008B54D4">
        <w:rPr>
          <w:color w:val="000000"/>
        </w:rPr>
        <w:t>,</w:t>
      </w:r>
      <w:r>
        <w:rPr>
          <w:color w:val="000000"/>
        </w:rPr>
        <w:t xml:space="preserve"> partnerships and corporations associated with the family and the people who run and advise those entities</w:t>
      </w:r>
      <w:r w:rsidR="008B54D4">
        <w:rPr>
          <w:color w:val="000000"/>
        </w:rPr>
        <w:t>,</w:t>
      </w:r>
      <w:r>
        <w:rPr>
          <w:rStyle w:val="FootnoteReference"/>
          <w:rFonts w:eastAsia="Times New Roman" w:cs="Times New Roman"/>
          <w:color w:val="000000"/>
          <w:vertAlign w:val="superscript"/>
        </w:rPr>
        <w:footnoteReference w:id="30"/>
      </w:r>
      <w:r>
        <w:rPr>
          <w:color w:val="000000"/>
        </w:rPr>
        <w:t xml:space="preserve"> from liability for claims that have been brought against them personally by third parties - claims that are not derivative</w:t>
      </w:r>
      <w:r w:rsidR="008B54D4">
        <w:rPr>
          <w:color w:val="000000"/>
        </w:rPr>
        <w:t>,</w:t>
      </w:r>
      <w:r>
        <w:rPr>
          <w:color w:val="000000"/>
        </w:rPr>
        <w:t xml:space="preserve"> but as to which </w:t>
      </w:r>
      <w:r w:rsidR="006239B5">
        <w:rPr>
          <w:color w:val="000000"/>
        </w:rPr>
        <w:t>Oxy</w:t>
      </w:r>
      <w:r w:rsidR="008B54D4">
        <w:rPr>
          <w:color w:val="000000"/>
        </w:rPr>
        <w:t>’</w:t>
      </w:r>
      <w:r>
        <w:rPr>
          <w:color w:val="000000"/>
        </w:rPr>
        <w:t>s conduct is a legally relevant factor</w:t>
      </w:r>
      <w:r w:rsidR="006A227C">
        <w:rPr>
          <w:color w:val="000000"/>
        </w:rPr>
        <w:t xml:space="preserve">.  </w:t>
      </w:r>
      <w:r w:rsidR="00B56FD7">
        <w:rPr>
          <w:color w:val="000000"/>
        </w:rPr>
        <w:t>By way of e</w:t>
      </w:r>
      <w:r>
        <w:rPr>
          <w:color w:val="000000"/>
        </w:rPr>
        <w:t>xample</w:t>
      </w:r>
      <w:r w:rsidR="00DE7588">
        <w:rPr>
          <w:color w:val="000000"/>
        </w:rPr>
        <w:t>,</w:t>
      </w:r>
      <w:r>
        <w:rPr>
          <w:color w:val="000000"/>
        </w:rPr>
        <w:t xml:space="preserve">  nearly all of the State Appell</w:t>
      </w:r>
      <w:r w:rsidR="005227D9">
        <w:rPr>
          <w:color w:val="000000"/>
        </w:rPr>
        <w:t xml:space="preserve">ees </w:t>
      </w:r>
      <w:r>
        <w:rPr>
          <w:color w:val="000000"/>
        </w:rPr>
        <w:t>have a law under which individuals who serve in certain capacities in a corporation are individually and personally liable for their personal participation in certain unfair trade practices</w:t>
      </w:r>
      <w:r w:rsidR="006A227C">
        <w:rPr>
          <w:color w:val="000000"/>
        </w:rPr>
        <w:t xml:space="preserve">.  </w:t>
      </w:r>
    </w:p>
    <w:p w14:paraId="0805CC60" w14:textId="165420B7" w:rsidR="00A77BBD" w:rsidRDefault="00A77BBD" w:rsidP="00A77BBD">
      <w:pPr>
        <w:pStyle w:val="BodyTextFirstIndent"/>
      </w:pPr>
      <w:r>
        <w:rPr>
          <w:color w:val="000000"/>
        </w:rPr>
        <w:t xml:space="preserve">As Judge </w:t>
      </w:r>
      <w:r w:rsidR="00E82FD6">
        <w:rPr>
          <w:color w:val="000000"/>
        </w:rPr>
        <w:t>Wains</w:t>
      </w:r>
      <w:r>
        <w:rPr>
          <w:color w:val="000000"/>
        </w:rPr>
        <w:t xml:space="preserve"> recognized (</w:t>
      </w:r>
      <w:r>
        <w:rPr>
          <w:i/>
          <w:iCs/>
          <w:color w:val="000000"/>
        </w:rPr>
        <w:t xml:space="preserve">see In re </w:t>
      </w:r>
      <w:r w:rsidR="006239B5">
        <w:rPr>
          <w:i/>
          <w:iCs/>
          <w:color w:val="000000"/>
        </w:rPr>
        <w:t>Oxy</w:t>
      </w:r>
      <w:r>
        <w:rPr>
          <w:i/>
          <w:iCs/>
          <w:color w:val="000000"/>
        </w:rPr>
        <w:t xml:space="preserve"> Pharma L.P</w:t>
      </w:r>
      <w:r>
        <w:rPr>
          <w:color w:val="000000"/>
        </w:rPr>
        <w:t>.</w:t>
      </w:r>
      <w:r w:rsidR="008B54D4">
        <w:rPr>
          <w:color w:val="000000"/>
        </w:rPr>
        <w:t>,</w:t>
      </w:r>
      <w:r>
        <w:rPr>
          <w:color w:val="000000"/>
        </w:rPr>
        <w:t xml:space="preserve"> </w:t>
      </w:r>
      <w:hyperlink r:id="rId128" w:history="1">
        <w:r>
          <w:rPr>
            <w:color w:val="000000"/>
          </w:rPr>
          <w:t>2021 WL 4240974</w:t>
        </w:r>
      </w:hyperlink>
      <w:r w:rsidR="008B54D4">
        <w:rPr>
          <w:color w:val="000000"/>
        </w:rPr>
        <w:t>,</w:t>
      </w:r>
      <w:r>
        <w:rPr>
          <w:color w:val="000000"/>
        </w:rPr>
        <w:t xml:space="preserve"> at *44)</w:t>
      </w:r>
      <w:r w:rsidR="008B54D4">
        <w:rPr>
          <w:color w:val="000000"/>
        </w:rPr>
        <w:t>,</w:t>
      </w:r>
      <w:r>
        <w:rPr>
          <w:color w:val="000000"/>
        </w:rPr>
        <w:t xml:space="preserve"> the liability imposed by these statutes is not derivative; the claims arise out of a separate and independent duty that is imposed by statute on individuals who</w:t>
      </w:r>
      <w:r w:rsidR="008B54D4">
        <w:rPr>
          <w:color w:val="000000"/>
        </w:rPr>
        <w:t>,</w:t>
      </w:r>
      <w:r>
        <w:rPr>
          <w:color w:val="000000"/>
        </w:rPr>
        <w:t xml:space="preserve"> by virtue of their positions</w:t>
      </w:r>
      <w:r w:rsidR="008B54D4">
        <w:rPr>
          <w:color w:val="000000"/>
        </w:rPr>
        <w:t>,</w:t>
      </w:r>
      <w:r>
        <w:rPr>
          <w:color w:val="000000"/>
        </w:rPr>
        <w:t xml:space="preserve"> personally participated in acts of corporate fraud</w:t>
      </w:r>
      <w:r w:rsidR="008B54D4">
        <w:rPr>
          <w:color w:val="000000"/>
        </w:rPr>
        <w:t>,</w:t>
      </w:r>
      <w:r>
        <w:rPr>
          <w:color w:val="000000"/>
        </w:rPr>
        <w:t xml:space="preserve"> misrepresentation and/or willful mis</w:t>
      </w:r>
      <w:r w:rsidR="000D3228">
        <w:rPr>
          <w:color w:val="000000"/>
        </w:rPr>
        <w:t>conduct</w:t>
      </w:r>
      <w:r w:rsidR="004F2BA9">
        <w:rPr>
          <w:color w:val="000000"/>
        </w:rPr>
        <w:t xml:space="preserve">. </w:t>
      </w:r>
      <w:r>
        <w:rPr>
          <w:color w:val="000000"/>
        </w:rPr>
        <w:t>Liability under those laws is limited to persons who occupied the roles of officer</w:t>
      </w:r>
      <w:r w:rsidR="008B54D4">
        <w:rPr>
          <w:color w:val="000000"/>
        </w:rPr>
        <w:t>,</w:t>
      </w:r>
      <w:r>
        <w:rPr>
          <w:color w:val="000000"/>
        </w:rPr>
        <w:t xml:space="preserve"> manager or director of a corporation - which means that there is considerable </w:t>
      </w:r>
      <w:r>
        <w:rPr>
          <w:i/>
          <w:iCs/>
          <w:color w:val="000000"/>
        </w:rPr>
        <w:t>factual</w:t>
      </w:r>
      <w:r>
        <w:rPr>
          <w:color w:val="000000"/>
        </w:rPr>
        <w:t xml:space="preserve"> overlap</w:t>
      </w:r>
      <w:r w:rsidR="008B54D4">
        <w:rPr>
          <w:color w:val="000000"/>
        </w:rPr>
        <w:t>,</w:t>
      </w:r>
      <w:r>
        <w:rPr>
          <w:color w:val="000000"/>
        </w:rPr>
        <w:t xml:space="preserve"> perhaps even complete congruence</w:t>
      </w:r>
      <w:r w:rsidR="008B54D4">
        <w:rPr>
          <w:color w:val="000000"/>
        </w:rPr>
        <w:t>,</w:t>
      </w:r>
      <w:r>
        <w:rPr>
          <w:color w:val="000000"/>
        </w:rPr>
        <w:t xml:space="preserve"> between those claims and the derivative claims against the same individuals that Judge </w:t>
      </w:r>
      <w:r w:rsidR="00E82FD6">
        <w:rPr>
          <w:color w:val="000000"/>
        </w:rPr>
        <w:t>Wains</w:t>
      </w:r>
      <w:r>
        <w:rPr>
          <w:color w:val="000000"/>
        </w:rPr>
        <w:t xml:space="preserve"> had undoubted authority to release and enjoin</w:t>
      </w:r>
      <w:r w:rsidR="006A227C">
        <w:rPr>
          <w:color w:val="000000"/>
        </w:rPr>
        <w:t xml:space="preserve">.  </w:t>
      </w:r>
      <w:r>
        <w:rPr>
          <w:color w:val="000000"/>
        </w:rPr>
        <w:t>But it is undisputed that these laws impose liability</w:t>
      </w:r>
      <w:r w:rsidR="008B54D4">
        <w:rPr>
          <w:color w:val="000000"/>
        </w:rPr>
        <w:t>,</w:t>
      </w:r>
      <w:r>
        <w:rPr>
          <w:color w:val="000000"/>
        </w:rPr>
        <w:t xml:space="preserve"> and even penalties</w:t>
      </w:r>
      <w:r w:rsidR="008B54D4">
        <w:rPr>
          <w:color w:val="000000"/>
        </w:rPr>
        <w:t>,</w:t>
      </w:r>
      <w:r>
        <w:rPr>
          <w:color w:val="000000"/>
        </w:rPr>
        <w:t xml:space="preserve"> on such persons independent of any corporate liability (or lack of same)</w:t>
      </w:r>
      <w:r w:rsidR="008B54D4">
        <w:rPr>
          <w:color w:val="000000"/>
        </w:rPr>
        <w:t>,</w:t>
      </w:r>
      <w:r>
        <w:rPr>
          <w:color w:val="000000"/>
        </w:rPr>
        <w:t xml:space="preserve"> and independent of any claim the corporation could assert against them for faithless service as a result of those same acts.</w:t>
      </w:r>
      <w:r>
        <w:rPr>
          <w:rStyle w:val="FootnoteReference"/>
          <w:rFonts w:eastAsia="Times New Roman" w:cs="Times New Roman"/>
          <w:color w:val="000000"/>
          <w:vertAlign w:val="superscript"/>
        </w:rPr>
        <w:footnoteReference w:id="31"/>
      </w:r>
    </w:p>
    <w:p w14:paraId="617E3233" w14:textId="32154C19" w:rsidR="00A77BBD" w:rsidRDefault="00A77BBD" w:rsidP="00A77BBD">
      <w:pPr>
        <w:pStyle w:val="BodyTextFirstIndent"/>
      </w:pPr>
      <w:r>
        <w:rPr>
          <w:color w:val="000000"/>
        </w:rPr>
        <w:t>The discussion that follows</w:t>
      </w:r>
      <w:r w:rsidR="008B54D4">
        <w:rPr>
          <w:color w:val="000000"/>
        </w:rPr>
        <w:t>,</w:t>
      </w:r>
      <w:r>
        <w:rPr>
          <w:color w:val="000000"/>
        </w:rPr>
        <w:t xml:space="preserve"> then</w:t>
      </w:r>
      <w:r w:rsidR="008B54D4">
        <w:rPr>
          <w:color w:val="000000"/>
        </w:rPr>
        <w:t>,</w:t>
      </w:r>
      <w:r>
        <w:rPr>
          <w:color w:val="000000"/>
        </w:rPr>
        <w:t xml:space="preserve"> applies only to direct (non-derivative) claims - sometimes referred to as “particularized” claims - that arise out of the </w:t>
      </w:r>
      <w:r w:rsidR="00E82FD6">
        <w:rPr>
          <w:color w:val="000000"/>
        </w:rPr>
        <w:t>Packler</w:t>
      </w:r>
      <w:r>
        <w:rPr>
          <w:color w:val="000000"/>
        </w:rPr>
        <w:t>s</w:t>
      </w:r>
      <w:r w:rsidR="008B54D4">
        <w:rPr>
          <w:color w:val="000000"/>
        </w:rPr>
        <w:t>’</w:t>
      </w:r>
      <w:r>
        <w:rPr>
          <w:color w:val="000000"/>
        </w:rPr>
        <w:t xml:space="preserve"> own conduct (</w:t>
      </w:r>
      <w:r>
        <w:rPr>
          <w:i/>
          <w:iCs/>
          <w:color w:val="000000"/>
        </w:rPr>
        <w:t xml:space="preserve">In re </w:t>
      </w:r>
      <w:r w:rsidR="006239B5">
        <w:rPr>
          <w:i/>
          <w:iCs/>
          <w:color w:val="000000"/>
        </w:rPr>
        <w:t>Oxy</w:t>
      </w:r>
      <w:r>
        <w:rPr>
          <w:i/>
          <w:iCs/>
          <w:color w:val="000000"/>
        </w:rPr>
        <w:t xml:space="preserve"> Pharma L.P.</w:t>
      </w:r>
      <w:r w:rsidR="008B54D4">
        <w:rPr>
          <w:color w:val="000000"/>
        </w:rPr>
        <w:t>,</w:t>
      </w:r>
      <w:r>
        <w:rPr>
          <w:color w:val="000000"/>
        </w:rPr>
        <w:t xml:space="preserve"> </w:t>
      </w:r>
      <w:hyperlink r:id="rId129" w:history="1">
        <w:r>
          <w:rPr>
            <w:color w:val="000000"/>
          </w:rPr>
          <w:t>2021 WL 4240974</w:t>
        </w:r>
      </w:hyperlink>
      <w:r w:rsidR="008B54D4">
        <w:rPr>
          <w:color w:val="000000"/>
        </w:rPr>
        <w:t>,</w:t>
      </w:r>
      <w:r>
        <w:rPr>
          <w:color w:val="000000"/>
        </w:rPr>
        <w:t xml:space="preserve"> at *45)</w:t>
      </w:r>
      <w:r w:rsidR="008B54D4">
        <w:rPr>
          <w:color w:val="000000"/>
        </w:rPr>
        <w:t>,</w:t>
      </w:r>
      <w:r>
        <w:rPr>
          <w:color w:val="000000"/>
        </w:rPr>
        <w:t xml:space="preserve"> and that either have been or could be asserted against the non-debtor members of the </w:t>
      </w:r>
      <w:r w:rsidR="00E82FD6">
        <w:rPr>
          <w:color w:val="000000"/>
        </w:rPr>
        <w:t>Packler</w:t>
      </w:r>
      <w:r>
        <w:rPr>
          <w:color w:val="000000"/>
        </w:rPr>
        <w:t xml:space="preserve"> family and their affiliates (the Shareholder Released Parties) by parties other than the Debtors</w:t>
      </w:r>
      <w:r w:rsidR="008B54D4">
        <w:rPr>
          <w:color w:val="000000"/>
        </w:rPr>
        <w:t>’</w:t>
      </w:r>
      <w:r>
        <w:rPr>
          <w:color w:val="000000"/>
        </w:rPr>
        <w:t xml:space="preserve"> estate</w:t>
      </w:r>
      <w:r w:rsidR="005227D9">
        <w:rPr>
          <w:color w:val="000000"/>
        </w:rPr>
        <w:t>s</w:t>
      </w:r>
      <w:r>
        <w:rPr>
          <w:color w:val="000000"/>
        </w:rPr>
        <w:t>.</w:t>
      </w:r>
    </w:p>
    <w:p w14:paraId="4158B8A0" w14:textId="77777777" w:rsidR="00A77BBD" w:rsidRDefault="00A77BBD" w:rsidP="000D3228">
      <w:pPr>
        <w:pStyle w:val="Heading1"/>
      </w:pPr>
      <w:r>
        <w:t>The Text of the Bankruptcy Code</w:t>
      </w:r>
    </w:p>
    <w:p w14:paraId="03AFB3C3" w14:textId="1F9B018F" w:rsidR="00A77BBD" w:rsidRDefault="00A77BBD" w:rsidP="00A77BBD">
      <w:pPr>
        <w:pStyle w:val="BodyTextFirstIndent"/>
      </w:pPr>
      <w:r>
        <w:rPr>
          <w:color w:val="000000"/>
        </w:rPr>
        <w:t>As one always should when assessing statutory authority</w:t>
      </w:r>
      <w:r w:rsidR="008B54D4">
        <w:rPr>
          <w:color w:val="000000"/>
        </w:rPr>
        <w:t>,</w:t>
      </w:r>
      <w:r>
        <w:rPr>
          <w:color w:val="000000"/>
        </w:rPr>
        <w:t xml:space="preserve"> we turn first to the text of the statute.</w:t>
      </w:r>
    </w:p>
    <w:p w14:paraId="068FE6F5" w14:textId="269AFB76" w:rsidR="00A77BBD" w:rsidRDefault="00A77BBD" w:rsidP="00A77BBD">
      <w:pPr>
        <w:pStyle w:val="BodyTextFirstIndent"/>
      </w:pPr>
      <w:r>
        <w:rPr>
          <w:color w:val="000000"/>
        </w:rPr>
        <w:t>All parties agree that one and only one section of the Bankruptcy Code expressly authorizes a bankruptcy court to enjoin third party claims against non-debtors without the consent of those third parties</w:t>
      </w:r>
      <w:r w:rsidR="006A227C">
        <w:rPr>
          <w:color w:val="000000"/>
        </w:rPr>
        <w:t xml:space="preserve">.  </w:t>
      </w:r>
      <w:r>
        <w:rPr>
          <w:color w:val="000000"/>
        </w:rPr>
        <w:t xml:space="preserve">That section is </w:t>
      </w:r>
      <w:hyperlink r:id="rId130" w:history="1">
        <w:r>
          <w:rPr>
            <w:color w:val="000000"/>
          </w:rPr>
          <w:t xml:space="preserve">11 </w:t>
        </w:r>
        <w:r w:rsidR="00522B24">
          <w:rPr>
            <w:color w:val="000000"/>
          </w:rPr>
          <w:t xml:space="preserve">U.S.C. </w:t>
        </w:r>
        <w:r>
          <w:rPr>
            <w:color w:val="000000"/>
          </w:rPr>
          <w:t>§ 524(g)</w:t>
        </w:r>
      </w:hyperlink>
      <w:r w:rsidR="008B54D4">
        <w:rPr>
          <w:color w:val="000000"/>
        </w:rPr>
        <w:t>,</w:t>
      </w:r>
      <w:r>
        <w:rPr>
          <w:color w:val="000000"/>
        </w:rPr>
        <w:t xml:space="preserve"> which was passed by Congress in 1994</w:t>
      </w:r>
      <w:r w:rsidR="006A227C">
        <w:rPr>
          <w:color w:val="000000"/>
        </w:rPr>
        <w:t xml:space="preserve">.  </w:t>
      </w:r>
      <w:r>
        <w:rPr>
          <w:color w:val="000000"/>
        </w:rPr>
        <w:t>It provides for such an injunction solely and exclusively in cases involving injuries arising from the manufacture and sale of asbestos</w:t>
      </w:r>
      <w:r w:rsidR="006A227C">
        <w:rPr>
          <w:color w:val="000000"/>
        </w:rPr>
        <w:t xml:space="preserve">.  </w:t>
      </w:r>
      <w:r>
        <w:rPr>
          <w:color w:val="000000"/>
        </w:rPr>
        <w:t>And it sets out a host of conditions that must be satisfied before any such injunction can be entered</w:t>
      </w:r>
      <w:r w:rsidR="008B54D4">
        <w:rPr>
          <w:color w:val="000000"/>
        </w:rPr>
        <w:t>,</w:t>
      </w:r>
      <w:r>
        <w:rPr>
          <w:color w:val="000000"/>
        </w:rPr>
        <w:t xml:space="preserve"> including all of the following:</w:t>
      </w:r>
    </w:p>
    <w:p w14:paraId="599BF16F" w14:textId="73844F39" w:rsidR="00A77BBD" w:rsidRDefault="00A77BBD" w:rsidP="00964D23">
      <w:pPr>
        <w:pStyle w:val="BodyTextFirstIndent"/>
        <w:ind w:left="1440" w:hanging="720"/>
      </w:pPr>
      <w:r>
        <w:rPr>
          <w:color w:val="000000"/>
        </w:rPr>
        <w:t>(i)</w:t>
      </w:r>
      <w:r>
        <w:rPr>
          <w:color w:val="000000"/>
        </w:rPr>
        <w:tab/>
        <w:t>the injunction is to be implemented in connection with a trust th</w:t>
      </w:r>
      <w:r w:rsidR="005227D9">
        <w:rPr>
          <w:color w:val="000000"/>
        </w:rPr>
        <w:t>at</w:t>
      </w:r>
      <w:r>
        <w:rPr>
          <w:color w:val="000000"/>
        </w:rPr>
        <w:t xml:space="preserve"> is to be funded in whole or in part</w:t>
      </w:r>
      <w:r w:rsidR="005227D9">
        <w:rPr>
          <w:color w:val="000000"/>
        </w:rPr>
        <w:t>,</w:t>
      </w:r>
      <w:r>
        <w:rPr>
          <w:color w:val="000000"/>
        </w:rPr>
        <w:t xml:space="preserve"> by the securities of the debtor and that the debtor will make future payments</w:t>
      </w:r>
      <w:r w:rsidR="008B54D4">
        <w:rPr>
          <w:color w:val="000000"/>
        </w:rPr>
        <w:t>,</w:t>
      </w:r>
      <w:r>
        <w:rPr>
          <w:color w:val="000000"/>
        </w:rPr>
        <w:t xml:space="preserve"> including dividends</w:t>
      </w:r>
      <w:r w:rsidR="008B54D4">
        <w:rPr>
          <w:color w:val="000000"/>
        </w:rPr>
        <w:t>,</w:t>
      </w:r>
      <w:r>
        <w:rPr>
          <w:color w:val="000000"/>
        </w:rPr>
        <w:t xml:space="preserve"> to that trust</w:t>
      </w:r>
      <w:r w:rsidR="005227D9">
        <w:rPr>
          <w:color w:val="000000"/>
        </w:rPr>
        <w:t>, 11 U.S.C. §</w:t>
      </w:r>
      <w:r>
        <w:rPr>
          <w:color w:val="000000"/>
        </w:rPr>
        <w:t xml:space="preserve"> 524(g)(2)(B)(i)(I);</w:t>
      </w:r>
    </w:p>
    <w:p w14:paraId="4E8A2483" w14:textId="3D4257E0" w:rsidR="00A77BBD" w:rsidRDefault="00A77BBD" w:rsidP="00964D23">
      <w:pPr>
        <w:pStyle w:val="BodyTextFirstIndent"/>
        <w:ind w:left="1440" w:hanging="720"/>
      </w:pPr>
      <w:r>
        <w:rPr>
          <w:color w:val="000000"/>
        </w:rPr>
        <w:t>(ii)</w:t>
      </w:r>
      <w:r>
        <w:rPr>
          <w:color w:val="000000"/>
        </w:rPr>
        <w:tab/>
        <w:t>the extent of such alleged liability of a third party arises by reason of one of four enumerated relationships between the debtor and third party (</w:t>
      </w:r>
      <w:r w:rsidR="005227D9">
        <w:rPr>
          <w:color w:val="000000"/>
        </w:rPr>
        <w:t xml:space="preserve">11 U.S.C. § </w:t>
      </w:r>
      <w:r>
        <w:rPr>
          <w:color w:val="000000"/>
        </w:rPr>
        <w:t>524(g)(4)(A)(ii));</w:t>
      </w:r>
    </w:p>
    <w:p w14:paraId="24A792BA" w14:textId="3532107B" w:rsidR="00A77BBD" w:rsidRDefault="00A77BBD" w:rsidP="00964D23">
      <w:pPr>
        <w:pStyle w:val="BodyTextFirstIndent"/>
        <w:ind w:left="1440" w:hanging="720"/>
      </w:pPr>
      <w:r>
        <w:rPr>
          <w:color w:val="000000"/>
        </w:rPr>
        <w:t>(iii)</w:t>
      </w:r>
      <w:r>
        <w:rPr>
          <w:color w:val="000000"/>
        </w:rPr>
        <w:tab/>
        <w:t>as part of the proceedings leading to issuance of such injunction</w:t>
      </w:r>
      <w:r w:rsidR="008B54D4">
        <w:rPr>
          <w:color w:val="000000"/>
        </w:rPr>
        <w:t>,</w:t>
      </w:r>
      <w:r>
        <w:rPr>
          <w:color w:val="000000"/>
        </w:rPr>
        <w:t xml:space="preserve"> the court appoints a legal representative for the purpose of protecting the rights of persons that might subsequently assert demands of such kind (</w:t>
      </w:r>
      <w:r w:rsidR="005227D9">
        <w:rPr>
          <w:color w:val="000000"/>
        </w:rPr>
        <w:t xml:space="preserve">11 U.S.C. § </w:t>
      </w:r>
      <w:r>
        <w:rPr>
          <w:color w:val="000000"/>
        </w:rPr>
        <w:t>524(g)(4)(B)(i)); and</w:t>
      </w:r>
    </w:p>
    <w:p w14:paraId="4BB4BAF1" w14:textId="6C2E3E73" w:rsidR="00A77BBD" w:rsidRDefault="00A77BBD" w:rsidP="00964D23">
      <w:pPr>
        <w:pStyle w:val="BodyTextFirstIndent"/>
        <w:ind w:left="1440" w:hanging="720"/>
      </w:pPr>
      <w:r>
        <w:rPr>
          <w:color w:val="000000"/>
        </w:rPr>
        <w:t>(iv)</w:t>
      </w:r>
      <w:r>
        <w:rPr>
          <w:color w:val="000000"/>
        </w:rPr>
        <w:tab/>
        <w:t>the court determines the injunction is fair and equitable to persons that might subsequently assert such demands</w:t>
      </w:r>
      <w:r w:rsidR="008B54D4">
        <w:rPr>
          <w:color w:val="000000"/>
        </w:rPr>
        <w:t>,</w:t>
      </w:r>
      <w:r>
        <w:rPr>
          <w:color w:val="000000"/>
        </w:rPr>
        <w:t xml:space="preserve"> and</w:t>
      </w:r>
      <w:r w:rsidR="008B54D4">
        <w:rPr>
          <w:color w:val="000000"/>
        </w:rPr>
        <w:t>,</w:t>
      </w:r>
      <w:r>
        <w:rPr>
          <w:color w:val="000000"/>
        </w:rPr>
        <w:t xml:space="preserve"> in light of the benefits provided to such trust on behalf of such third parties</w:t>
      </w:r>
      <w:r w:rsidR="006A227C">
        <w:rPr>
          <w:color w:val="000000"/>
        </w:rPr>
        <w:t xml:space="preserve">.  </w:t>
      </w:r>
      <w:r w:rsidR="005227D9">
        <w:rPr>
          <w:color w:val="000000"/>
        </w:rPr>
        <w:t>11 U.S.C. §</w:t>
      </w:r>
      <w:r>
        <w:rPr>
          <w:color w:val="000000"/>
        </w:rPr>
        <w:t xml:space="preserve"> 524(g)(4)(B)(ii)).</w:t>
      </w:r>
    </w:p>
    <w:p w14:paraId="6F74936D" w14:textId="756EBB6D" w:rsidR="00A77BBD" w:rsidRDefault="00A77BBD" w:rsidP="00A77BBD">
      <w:pPr>
        <w:pStyle w:val="BodyTextFirstIndent"/>
      </w:pPr>
      <w:r>
        <w:rPr>
          <w:color w:val="000000"/>
        </w:rPr>
        <w:t>Section 524(g) injunctions barring third party claims against non-debtors cannot be entered in favor of just any non-debtor</w:t>
      </w:r>
      <w:r w:rsidR="006A227C">
        <w:rPr>
          <w:color w:val="000000"/>
        </w:rPr>
        <w:t xml:space="preserve">.  </w:t>
      </w:r>
      <w:r>
        <w:rPr>
          <w:color w:val="000000"/>
        </w:rPr>
        <w:t>They are limited to enjoin actions against a specific set of non- debtors:  those who have a particular relationship to the debtor</w:t>
      </w:r>
      <w:r w:rsidR="008B54D4">
        <w:rPr>
          <w:color w:val="000000"/>
        </w:rPr>
        <w:t>,</w:t>
      </w:r>
      <w:r>
        <w:rPr>
          <w:color w:val="000000"/>
        </w:rPr>
        <w:t xml:space="preserve"> including owners</w:t>
      </w:r>
      <w:r w:rsidR="008B54D4">
        <w:rPr>
          <w:color w:val="000000"/>
        </w:rPr>
        <w:t>,</w:t>
      </w:r>
      <w:r>
        <w:rPr>
          <w:color w:val="000000"/>
        </w:rPr>
        <w:t xml:space="preserve"> managers</w:t>
      </w:r>
      <w:r w:rsidR="008B54D4">
        <w:rPr>
          <w:color w:val="000000"/>
        </w:rPr>
        <w:t>,</w:t>
      </w:r>
      <w:r>
        <w:rPr>
          <w:color w:val="000000"/>
        </w:rPr>
        <w:t xml:space="preserve"> officers</w:t>
      </w:r>
      <w:r w:rsidR="008B54D4">
        <w:rPr>
          <w:color w:val="000000"/>
        </w:rPr>
        <w:t>,</w:t>
      </w:r>
      <w:r>
        <w:rPr>
          <w:color w:val="000000"/>
        </w:rPr>
        <w:t xml:space="preserve"> directors</w:t>
      </w:r>
      <w:r w:rsidR="008B54D4">
        <w:rPr>
          <w:color w:val="000000"/>
        </w:rPr>
        <w:t>,</w:t>
      </w:r>
      <w:r>
        <w:rPr>
          <w:color w:val="000000"/>
        </w:rPr>
        <w:t xml:space="preserve"> employees</w:t>
      </w:r>
      <w:r w:rsidR="008B54D4">
        <w:rPr>
          <w:color w:val="000000"/>
        </w:rPr>
        <w:t>,</w:t>
      </w:r>
      <w:r>
        <w:rPr>
          <w:color w:val="000000"/>
        </w:rPr>
        <w:t xml:space="preserve"> insurers</w:t>
      </w:r>
      <w:r w:rsidR="008B54D4">
        <w:rPr>
          <w:color w:val="000000"/>
        </w:rPr>
        <w:t>,</w:t>
      </w:r>
      <w:r>
        <w:rPr>
          <w:color w:val="000000"/>
        </w:rPr>
        <w:t xml:space="preserve"> and financiers.</w:t>
      </w:r>
      <w:hyperlink r:id="rId131" w:history="1">
        <w:r>
          <w:rPr>
            <w:color w:val="000000"/>
          </w:rPr>
          <w:t xml:space="preserve"> </w:t>
        </w:r>
        <w:r w:rsidR="000D3228">
          <w:rPr>
            <w:color w:val="000000"/>
          </w:rPr>
          <w:t xml:space="preserve"> </w:t>
        </w:r>
        <w:r>
          <w:rPr>
            <w:color w:val="000000"/>
          </w:rPr>
          <w:t xml:space="preserve">11 </w:t>
        </w:r>
        <w:r w:rsidR="00522B24">
          <w:rPr>
            <w:color w:val="000000"/>
          </w:rPr>
          <w:t xml:space="preserve">U.S.C. </w:t>
        </w:r>
        <w:r>
          <w:rPr>
            <w:color w:val="000000"/>
          </w:rPr>
          <w:t>§ 524(g)(4)(A)</w:t>
        </w:r>
      </w:hyperlink>
      <w:r>
        <w:rPr>
          <w:color w:val="000000"/>
        </w:rPr>
        <w:t>.</w:t>
      </w:r>
    </w:p>
    <w:p w14:paraId="6648C1AB" w14:textId="34194434" w:rsidR="00A77BBD" w:rsidRDefault="00A77BBD" w:rsidP="00A77BBD">
      <w:pPr>
        <w:pStyle w:val="BodyTextFirstIndent"/>
      </w:pPr>
      <w:r>
        <w:rPr>
          <w:color w:val="000000"/>
        </w:rPr>
        <w:t>The language of the statute plainly indicates that Congress believed that Section 524(g) created an exception to what would otherwise be the applicable rule of law</w:t>
      </w:r>
      <w:r w:rsidR="006A227C">
        <w:rPr>
          <w:color w:val="000000"/>
        </w:rPr>
        <w:t xml:space="preserve">.  </w:t>
      </w:r>
      <w:r>
        <w:rPr>
          <w:color w:val="000000"/>
        </w:rPr>
        <w:t>Subsection 524(g)(4)(A)(ii) says:  “Notwithstanding the provisions of section 524(e)</w:t>
      </w:r>
      <w:r w:rsidR="008B54D4">
        <w:rPr>
          <w:color w:val="000000"/>
        </w:rPr>
        <w:t>,</w:t>
      </w:r>
      <w:r>
        <w:rPr>
          <w:color w:val="000000"/>
        </w:rPr>
        <w:t xml:space="preserve"> such an injunction may bar any action directed against a third party who is identifiable from the terms of such injunction (by name or as part of an identifiable group) and is alleged to be directly or indirectly liable for the conduct of</w:t>
      </w:r>
      <w:r w:rsidR="008B54D4">
        <w:rPr>
          <w:color w:val="000000"/>
        </w:rPr>
        <w:t>,</w:t>
      </w:r>
      <w:r>
        <w:rPr>
          <w:color w:val="000000"/>
        </w:rPr>
        <w:t xml:space="preserve"> claims against</w:t>
      </w:r>
      <w:r w:rsidR="008B54D4">
        <w:rPr>
          <w:color w:val="000000"/>
        </w:rPr>
        <w:t>,</w:t>
      </w:r>
      <w:r>
        <w:rPr>
          <w:color w:val="000000"/>
        </w:rPr>
        <w:t xml:space="preserve"> or demands on the debtor.”</w:t>
      </w:r>
      <w:hyperlink r:id="rId132" w:history="1">
        <w:r>
          <w:rPr>
            <w:color w:val="000000"/>
          </w:rPr>
          <w:t xml:space="preserve"> </w:t>
        </w:r>
        <w:r w:rsidR="000D3228">
          <w:rPr>
            <w:color w:val="000000"/>
          </w:rPr>
          <w:t xml:space="preserve"> </w:t>
        </w:r>
        <w:r>
          <w:rPr>
            <w:color w:val="000000"/>
          </w:rPr>
          <w:t xml:space="preserve">11 </w:t>
        </w:r>
        <w:r w:rsidR="00522B24">
          <w:rPr>
            <w:color w:val="000000"/>
          </w:rPr>
          <w:t xml:space="preserve">U.S.C. </w:t>
        </w:r>
        <w:r>
          <w:rPr>
            <w:color w:val="000000"/>
          </w:rPr>
          <w:t>§ 524(g)(4)(A)(ii)</w:t>
        </w:r>
      </w:hyperlink>
      <w:r w:rsidR="006A227C">
        <w:rPr>
          <w:color w:val="000000"/>
        </w:rPr>
        <w:t xml:space="preserve">.  </w:t>
      </w:r>
      <w:r>
        <w:rPr>
          <w:color w:val="000000"/>
        </w:rPr>
        <w:t>Section 524(e) provides:  “Except as provided in subsection (a)(3) of this section</w:t>
      </w:r>
      <w:r w:rsidR="008B54D4">
        <w:rPr>
          <w:color w:val="000000"/>
        </w:rPr>
        <w:t>,</w:t>
      </w:r>
      <w:r>
        <w:rPr>
          <w:color w:val="000000"/>
        </w:rPr>
        <w:t xml:space="preserve"> discharge of a debt of the debtor does not affect the liability of any other entity on</w:t>
      </w:r>
      <w:r w:rsidR="008B54D4">
        <w:rPr>
          <w:color w:val="000000"/>
        </w:rPr>
        <w:t>,</w:t>
      </w:r>
      <w:r>
        <w:rPr>
          <w:color w:val="000000"/>
        </w:rPr>
        <w:t xml:space="preserve"> or the property of any other entity for</w:t>
      </w:r>
      <w:r w:rsidR="008B54D4">
        <w:rPr>
          <w:color w:val="000000"/>
        </w:rPr>
        <w:t>,</w:t>
      </w:r>
      <w:r>
        <w:rPr>
          <w:color w:val="000000"/>
        </w:rPr>
        <w:t xml:space="preserve"> such debt</w:t>
      </w:r>
      <w:r w:rsidR="00FA79C1">
        <w:rPr>
          <w:color w:val="000000"/>
        </w:rPr>
        <w:t xml:space="preserve">.”  </w:t>
      </w:r>
      <w:hyperlink r:id="rId133" w:history="1">
        <w:r>
          <w:rPr>
            <w:color w:val="000000"/>
          </w:rPr>
          <w:t xml:space="preserve">11 </w:t>
        </w:r>
        <w:r w:rsidR="00522B24">
          <w:rPr>
            <w:color w:val="000000"/>
          </w:rPr>
          <w:t xml:space="preserve">U.S.C. </w:t>
        </w:r>
        <w:r>
          <w:rPr>
            <w:color w:val="000000"/>
          </w:rPr>
          <w:t>§ 524(e)</w:t>
        </w:r>
      </w:hyperlink>
      <w:r w:rsidR="006A227C">
        <w:rPr>
          <w:color w:val="000000"/>
        </w:rPr>
        <w:t xml:space="preserve">.  </w:t>
      </w:r>
      <w:r>
        <w:rPr>
          <w:color w:val="000000"/>
        </w:rPr>
        <w:t>The word “notwithstanding</w:t>
      </w:r>
      <w:r w:rsidR="008B54D4">
        <w:rPr>
          <w:color w:val="000000"/>
        </w:rPr>
        <w:t>,</w:t>
      </w:r>
      <w:r>
        <w:rPr>
          <w:color w:val="000000"/>
        </w:rPr>
        <w:t>” suggests that the type of injunction Congress was authorizing in § 524(g) would be barred by § 524(e) in the absence of the statute.</w:t>
      </w:r>
    </w:p>
    <w:p w14:paraId="103AADBE" w14:textId="5A098A50" w:rsidR="00A77BBD" w:rsidRDefault="00A77BBD" w:rsidP="000D3228">
      <w:pPr>
        <w:pStyle w:val="Heading3"/>
      </w:pPr>
      <w:r>
        <w:t>Legislative History of the Statute</w:t>
      </w:r>
    </w:p>
    <w:p w14:paraId="387070C9" w14:textId="79C6C041" w:rsidR="00A77BBD" w:rsidRDefault="00A77BBD" w:rsidP="00A77BBD">
      <w:pPr>
        <w:pStyle w:val="BodyTextFirstIndent"/>
      </w:pPr>
      <w:r>
        <w:rPr>
          <w:color w:val="000000"/>
        </w:rPr>
        <w:t>Section 524(g) was passed after the United States Court of Appeals for the Second Circuit had affirmed the entry of an unprecedented injunction barring claims against certain non-debtors in connection with the bankruptcy of the nation</w:t>
      </w:r>
      <w:r w:rsidR="008B54D4">
        <w:rPr>
          <w:color w:val="000000"/>
        </w:rPr>
        <w:t>’</w:t>
      </w:r>
      <w:r>
        <w:rPr>
          <w:color w:val="000000"/>
        </w:rPr>
        <w:t>s leading manufacturer of asbestos</w:t>
      </w:r>
      <w:r w:rsidR="008B54D4">
        <w:rPr>
          <w:color w:val="000000"/>
        </w:rPr>
        <w:t>,</w:t>
      </w:r>
      <w:r>
        <w:rPr>
          <w:color w:val="000000"/>
        </w:rPr>
        <w:t xml:space="preserve"> the Johns Manville Corporation</w:t>
      </w:r>
      <w:r w:rsidR="006A227C">
        <w:rPr>
          <w:color w:val="000000"/>
        </w:rPr>
        <w:t xml:space="preserve">.  </w:t>
      </w:r>
      <w:r>
        <w:rPr>
          <w:i/>
          <w:iCs/>
          <w:color w:val="000000"/>
        </w:rPr>
        <w:t>MacArthur Co</w:t>
      </w:r>
      <w:r w:rsidR="006A227C">
        <w:rPr>
          <w:i/>
          <w:iCs/>
          <w:color w:val="000000"/>
        </w:rPr>
        <w:t>.</w:t>
      </w:r>
      <w:r w:rsidR="00E150C1">
        <w:rPr>
          <w:i/>
          <w:iCs/>
          <w:color w:val="000000"/>
        </w:rPr>
        <w:t xml:space="preserve"> v. </w:t>
      </w:r>
      <w:r>
        <w:rPr>
          <w:i/>
          <w:iCs/>
          <w:color w:val="000000"/>
        </w:rPr>
        <w:t>Johns-Manville Corp</w:t>
      </w:r>
      <w:r w:rsidR="006A227C">
        <w:rPr>
          <w:i/>
          <w:iCs/>
          <w:color w:val="000000"/>
        </w:rPr>
        <w:t xml:space="preserve">. </w:t>
      </w:r>
      <w:r>
        <w:rPr>
          <w:i/>
          <w:iCs/>
          <w:color w:val="000000"/>
        </w:rPr>
        <w:t>(In re Johns-Manville Corp.)</w:t>
      </w:r>
      <w:r w:rsidR="008B54D4" w:rsidRPr="000D3228">
        <w:rPr>
          <w:color w:val="000000"/>
        </w:rPr>
        <w:t>,</w:t>
      </w:r>
      <w:hyperlink r:id="rId134" w:history="1">
        <w:r>
          <w:rPr>
            <w:color w:val="000000"/>
          </w:rPr>
          <w:t xml:space="preserve"> 837</w:t>
        </w:r>
      </w:hyperlink>
      <w:r w:rsidR="000D3228">
        <w:rPr>
          <w:color w:val="000000"/>
        </w:rPr>
        <w:t xml:space="preserve"> </w:t>
      </w:r>
      <w:hyperlink r:id="rId135" w:history="1">
        <w:r>
          <w:rPr>
            <w:color w:val="000000"/>
          </w:rPr>
          <w:t>F.2d 89</w:t>
        </w:r>
        <w:r w:rsidR="008B54D4">
          <w:rPr>
            <w:color w:val="000000"/>
          </w:rPr>
          <w:t>,</w:t>
        </w:r>
        <w:r>
          <w:rPr>
            <w:color w:val="000000"/>
          </w:rPr>
          <w:t xml:space="preserve"> 91</w:t>
        </w:r>
      </w:hyperlink>
      <w:r>
        <w:rPr>
          <w:color w:val="000000"/>
        </w:rPr>
        <w:t xml:space="preserve"> (2d </w:t>
      </w:r>
      <w:r w:rsidR="00E97455">
        <w:rPr>
          <w:color w:val="000000"/>
        </w:rPr>
        <w:t xml:space="preserve">Cir. </w:t>
      </w:r>
      <w:r>
        <w:rPr>
          <w:color w:val="000000"/>
        </w:rPr>
        <w:t>1988) (“</w:t>
      </w:r>
      <w:r>
        <w:rPr>
          <w:i/>
          <w:iCs/>
          <w:color w:val="000000"/>
        </w:rPr>
        <w:t>Manville I</w:t>
      </w:r>
      <w:r>
        <w:rPr>
          <w:color w:val="000000"/>
        </w:rPr>
        <w:t>”)</w:t>
      </w:r>
      <w:r w:rsidR="006A227C">
        <w:rPr>
          <w:color w:val="000000"/>
        </w:rPr>
        <w:t xml:space="preserve">.  </w:t>
      </w:r>
      <w:r>
        <w:rPr>
          <w:color w:val="000000"/>
        </w:rPr>
        <w:t>The permanent injunction in that case extended to actions against Manville</w:t>
      </w:r>
      <w:r w:rsidR="008B54D4">
        <w:rPr>
          <w:color w:val="000000"/>
        </w:rPr>
        <w:t>’</w:t>
      </w:r>
      <w:r>
        <w:rPr>
          <w:color w:val="000000"/>
        </w:rPr>
        <w:t>s insurers</w:t>
      </w:r>
      <w:r w:rsidR="008B54D4">
        <w:rPr>
          <w:color w:val="000000"/>
        </w:rPr>
        <w:t>,</w:t>
      </w:r>
      <w:r>
        <w:rPr>
          <w:color w:val="000000"/>
        </w:rPr>
        <w:t xml:space="preserve"> all of whom had dedicated the entire proceeds of their policies - proceeds on which parties other than Manville were additional insureds and had a call - to a settlement fund into which the claims of asbestos victims would be channeled</w:t>
      </w:r>
      <w:r w:rsidR="008B54D4">
        <w:rPr>
          <w:color w:val="000000"/>
        </w:rPr>
        <w:t>,</w:t>
      </w:r>
      <w:r>
        <w:rPr>
          <w:color w:val="000000"/>
        </w:rPr>
        <w:t xml:space="preserve"> valued</w:t>
      </w:r>
      <w:r w:rsidR="008B54D4">
        <w:rPr>
          <w:color w:val="000000"/>
        </w:rPr>
        <w:t>,</w:t>
      </w:r>
      <w:r>
        <w:rPr>
          <w:color w:val="000000"/>
        </w:rPr>
        <w:t xml:space="preserve"> and resolved</w:t>
      </w:r>
      <w:r w:rsidR="006A227C">
        <w:rPr>
          <w:color w:val="000000"/>
        </w:rPr>
        <w:t xml:space="preserve">.  </w:t>
      </w:r>
      <w:r>
        <w:rPr>
          <w:color w:val="000000"/>
        </w:rPr>
        <w:t>The Second Circuit concluded that the bankruptcy court could permanently enjoin and channel lawsuits against a debtor</w:t>
      </w:r>
      <w:r w:rsidR="008B54D4">
        <w:rPr>
          <w:color w:val="000000"/>
        </w:rPr>
        <w:t>’</w:t>
      </w:r>
      <w:r>
        <w:rPr>
          <w:color w:val="000000"/>
        </w:rPr>
        <w:t>s insurer relating to those insurance policies because those policies were “property of the debtor</w:t>
      </w:r>
      <w:r w:rsidR="008B54D4">
        <w:rPr>
          <w:color w:val="000000"/>
        </w:rPr>
        <w:t>’</w:t>
      </w:r>
      <w:r>
        <w:rPr>
          <w:color w:val="000000"/>
        </w:rPr>
        <w:t>s estate</w:t>
      </w:r>
      <w:r w:rsidR="00FA79C1">
        <w:rPr>
          <w:color w:val="000000"/>
        </w:rPr>
        <w:t xml:space="preserve">.”  </w:t>
      </w:r>
      <w:r w:rsidR="00FD7892">
        <w:rPr>
          <w:i/>
          <w:iCs/>
          <w:color w:val="000000"/>
        </w:rPr>
        <w:t xml:space="preserve">Id. </w:t>
      </w:r>
      <w:r>
        <w:rPr>
          <w:color w:val="000000"/>
        </w:rPr>
        <w:t>at 90</w:t>
      </w:r>
      <w:r w:rsidR="006A227C">
        <w:rPr>
          <w:color w:val="000000"/>
        </w:rPr>
        <w:t xml:space="preserve">.  </w:t>
      </w:r>
      <w:r>
        <w:rPr>
          <w:color w:val="000000"/>
        </w:rPr>
        <w:t>The Court of Appeals did not cite to a single section of the Bankruptcy Code as authorizing entry of the injunction.</w:t>
      </w:r>
    </w:p>
    <w:p w14:paraId="4CA39C0C" w14:textId="79293881" w:rsidR="00A77BBD" w:rsidRDefault="00A77BBD" w:rsidP="00A77BBD">
      <w:pPr>
        <w:pStyle w:val="BodyTextFirstIndent"/>
      </w:pPr>
      <w:r>
        <w:rPr>
          <w:color w:val="000000"/>
        </w:rPr>
        <w:t xml:space="preserve">Despite </w:t>
      </w:r>
      <w:r w:rsidR="00DE7588">
        <w:rPr>
          <w:color w:val="000000"/>
        </w:rPr>
        <w:t xml:space="preserve">our </w:t>
      </w:r>
      <w:r>
        <w:rPr>
          <w:color w:val="000000"/>
        </w:rPr>
        <w:t xml:space="preserve">affirmance of the </w:t>
      </w:r>
      <w:r>
        <w:rPr>
          <w:i/>
          <w:iCs/>
          <w:color w:val="000000"/>
        </w:rPr>
        <w:t>Manville I</w:t>
      </w:r>
      <w:r>
        <w:rPr>
          <w:color w:val="000000"/>
        </w:rPr>
        <w:t xml:space="preserve"> injunction</w:t>
      </w:r>
      <w:r w:rsidR="008B54D4">
        <w:rPr>
          <w:color w:val="000000"/>
        </w:rPr>
        <w:t>,</w:t>
      </w:r>
      <w:r>
        <w:rPr>
          <w:color w:val="000000"/>
        </w:rPr>
        <w:t xml:space="preserve"> questions </w:t>
      </w:r>
      <w:r w:rsidR="005227D9">
        <w:rPr>
          <w:color w:val="000000"/>
        </w:rPr>
        <w:t>co</w:t>
      </w:r>
      <w:r w:rsidR="003B7D4B">
        <w:rPr>
          <w:color w:val="000000"/>
        </w:rPr>
        <w:t>ntin</w:t>
      </w:r>
      <w:r>
        <w:rPr>
          <w:color w:val="000000"/>
        </w:rPr>
        <w:t>ue to be raised about its legality</w:t>
      </w:r>
      <w:r w:rsidR="006A227C">
        <w:rPr>
          <w:color w:val="000000"/>
        </w:rPr>
        <w:t xml:space="preserve">.  </w:t>
      </w:r>
      <w:r>
        <w:rPr>
          <w:color w:val="000000"/>
        </w:rPr>
        <w:t>Congress passed Sections 524(g) and (h) of the Bankruptcy Code to remove any doubt that those injunctions were authorized</w:t>
      </w:r>
      <w:r w:rsidR="006A227C">
        <w:rPr>
          <w:color w:val="000000"/>
        </w:rPr>
        <w:t xml:space="preserve">.  </w:t>
      </w:r>
      <w:r>
        <w:rPr>
          <w:i/>
          <w:iCs/>
          <w:color w:val="000000"/>
        </w:rPr>
        <w:t>See</w:t>
      </w:r>
      <w:r>
        <w:rPr>
          <w:color w:val="000000"/>
        </w:rPr>
        <w:t xml:space="preserve"> H.R</w:t>
      </w:r>
      <w:r w:rsidR="006A227C">
        <w:rPr>
          <w:color w:val="000000"/>
        </w:rPr>
        <w:t xml:space="preserve">. </w:t>
      </w:r>
      <w:r>
        <w:rPr>
          <w:color w:val="000000"/>
        </w:rPr>
        <w:t>Rep</w:t>
      </w:r>
      <w:r w:rsidR="006A227C">
        <w:rPr>
          <w:color w:val="000000"/>
        </w:rPr>
        <w:t xml:space="preserve">. </w:t>
      </w:r>
      <w:r>
        <w:rPr>
          <w:color w:val="000000"/>
        </w:rPr>
        <w:t>103-835 at *41 (noting that Subsection (g) was added to Section 524 “in order to strengthen the Manville and UNR trust/injunction mechanisms and to offer similar certitude to other asbestos trust/injunction mechanisms that meet the same kind of high standard with respect to regard for the rights of claimants</w:t>
      </w:r>
      <w:r w:rsidR="008B54D4">
        <w:rPr>
          <w:color w:val="000000"/>
        </w:rPr>
        <w:t>,</w:t>
      </w:r>
      <w:r>
        <w:rPr>
          <w:color w:val="000000"/>
        </w:rPr>
        <w:t xml:space="preserve"> present and future</w:t>
      </w:r>
      <w:r w:rsidR="008B54D4">
        <w:rPr>
          <w:color w:val="000000"/>
        </w:rPr>
        <w:t>,</w:t>
      </w:r>
      <w:r>
        <w:rPr>
          <w:color w:val="000000"/>
        </w:rPr>
        <w:t xml:space="preserve"> as displayed in the two pioneering cases”).</w:t>
      </w:r>
    </w:p>
    <w:p w14:paraId="3BA647B6" w14:textId="087DB92D" w:rsidR="00A77BBD" w:rsidRDefault="00A77BBD" w:rsidP="00A77BBD">
      <w:pPr>
        <w:pStyle w:val="BodyTextFirstIndent"/>
      </w:pPr>
      <w:r>
        <w:rPr>
          <w:color w:val="000000"/>
        </w:rPr>
        <w:t>That Section 524(g) applies only to asbestos cases is clear</w:t>
      </w:r>
      <w:r w:rsidR="006A227C">
        <w:rPr>
          <w:color w:val="000000"/>
        </w:rPr>
        <w:t xml:space="preserve">.  </w:t>
      </w:r>
      <w:r>
        <w:rPr>
          <w:color w:val="000000"/>
        </w:rPr>
        <w:t>The statute explicitly states than the trust that “is to assume the liabilities of a debtor” be set up in connection with “actions seeking recovery for damages allegedly caused by the presence of</w:t>
      </w:r>
      <w:r w:rsidR="008B54D4">
        <w:rPr>
          <w:color w:val="000000"/>
        </w:rPr>
        <w:t>,</w:t>
      </w:r>
      <w:r>
        <w:rPr>
          <w:color w:val="000000"/>
        </w:rPr>
        <w:t xml:space="preserve"> or exposure to</w:t>
      </w:r>
      <w:r w:rsidR="008B54D4">
        <w:rPr>
          <w:color w:val="000000"/>
        </w:rPr>
        <w:t>,</w:t>
      </w:r>
      <w:r>
        <w:rPr>
          <w:color w:val="000000"/>
        </w:rPr>
        <w:t xml:space="preserve"> asbestos or asbestos- containing products” (</w:t>
      </w:r>
      <w:hyperlink r:id="rId136" w:history="1">
        <w:r>
          <w:rPr>
            <w:color w:val="000000"/>
          </w:rPr>
          <w:t xml:space="preserve">11 </w:t>
        </w:r>
        <w:r w:rsidR="00522B24">
          <w:rPr>
            <w:color w:val="000000"/>
          </w:rPr>
          <w:t xml:space="preserve">U.S.C. </w:t>
        </w:r>
        <w:r>
          <w:rPr>
            <w:color w:val="000000"/>
          </w:rPr>
          <w:t>§ 524(g)(B)(i)(I))</w:t>
        </w:r>
      </w:hyperlink>
      <w:r w:rsidR="006A227C">
        <w:rPr>
          <w:color w:val="000000"/>
        </w:rPr>
        <w:t xml:space="preserve">.  </w:t>
      </w:r>
      <w:r>
        <w:rPr>
          <w:color w:val="000000"/>
        </w:rPr>
        <w:t>If that were not clear enough</w:t>
      </w:r>
      <w:r w:rsidR="008B54D4">
        <w:rPr>
          <w:color w:val="000000"/>
        </w:rPr>
        <w:t>,</w:t>
      </w:r>
      <w:r>
        <w:rPr>
          <w:color w:val="000000"/>
        </w:rPr>
        <w:t xml:space="preserve"> Congress passed another section to provide that injunctions that had previously been entered </w:t>
      </w:r>
      <w:r>
        <w:rPr>
          <w:i/>
          <w:iCs/>
          <w:color w:val="000000"/>
        </w:rPr>
        <w:t>in asbestos cases</w:t>
      </w:r>
      <w:r>
        <w:rPr>
          <w:color w:val="000000"/>
        </w:rPr>
        <w:t xml:space="preserve"> - not in any other kind of case - would automatically be deemed statutorily compliant</w:t>
      </w:r>
      <w:r w:rsidR="008B54D4">
        <w:rPr>
          <w:color w:val="000000"/>
        </w:rPr>
        <w:t>,</w:t>
      </w:r>
      <w:r>
        <w:rPr>
          <w:color w:val="000000"/>
        </w:rPr>
        <w:t xml:space="preserve"> even if those injunctions did not have all the features required by § 524(g)</w:t>
      </w:r>
      <w:r w:rsidR="006A227C">
        <w:rPr>
          <w:color w:val="000000"/>
        </w:rPr>
        <w:t xml:space="preserve">.  </w:t>
      </w:r>
      <w:r>
        <w:rPr>
          <w:i/>
          <w:iCs/>
          <w:color w:val="000000"/>
        </w:rPr>
        <w:t>See</w:t>
      </w:r>
      <w:r w:rsidR="008B54D4">
        <w:rPr>
          <w:color w:val="000000"/>
        </w:rPr>
        <w:t>,</w:t>
      </w:r>
      <w:hyperlink r:id="rId137" w:history="1">
        <w:r>
          <w:rPr>
            <w:color w:val="000000"/>
          </w:rPr>
          <w:t xml:space="preserve"> 11 </w:t>
        </w:r>
        <w:r w:rsidR="00522B24">
          <w:rPr>
            <w:color w:val="000000"/>
          </w:rPr>
          <w:t xml:space="preserve">U.S.C. </w:t>
        </w:r>
        <w:r>
          <w:rPr>
            <w:color w:val="000000"/>
          </w:rPr>
          <w:t>§ 524(h)</w:t>
        </w:r>
      </w:hyperlink>
      <w:r>
        <w:rPr>
          <w:color w:val="000000"/>
        </w:rPr>
        <w:t xml:space="preserve"> (“Application to Existing Injunctions”)</w:t>
      </w:r>
      <w:r w:rsidR="006A227C">
        <w:rPr>
          <w:color w:val="000000"/>
        </w:rPr>
        <w:t xml:space="preserve">.  </w:t>
      </w:r>
      <w:r>
        <w:rPr>
          <w:color w:val="000000"/>
        </w:rPr>
        <w:t>The limitation of § 524(h) to asbestos injunctions is important because</w:t>
      </w:r>
      <w:r w:rsidR="008B54D4">
        <w:rPr>
          <w:color w:val="000000"/>
        </w:rPr>
        <w:t>,</w:t>
      </w:r>
      <w:r>
        <w:rPr>
          <w:color w:val="000000"/>
        </w:rPr>
        <w:t xml:space="preserve"> prior to the statute</w:t>
      </w:r>
      <w:r w:rsidR="008B54D4">
        <w:rPr>
          <w:color w:val="000000"/>
        </w:rPr>
        <w:t>’</w:t>
      </w:r>
      <w:r>
        <w:rPr>
          <w:color w:val="000000"/>
        </w:rPr>
        <w:t>s passage</w:t>
      </w:r>
      <w:r w:rsidR="008B54D4">
        <w:rPr>
          <w:color w:val="000000"/>
        </w:rPr>
        <w:t>,</w:t>
      </w:r>
      <w:r>
        <w:rPr>
          <w:color w:val="000000"/>
        </w:rPr>
        <w:t xml:space="preserve"> injunctions releasing third party claims against non-debtors had been entered by a few courts in cases involving other industries</w:t>
      </w:r>
      <w:r w:rsidR="006A227C">
        <w:rPr>
          <w:color w:val="000000"/>
        </w:rPr>
        <w:t xml:space="preserve">.  </w:t>
      </w:r>
      <w:r>
        <w:rPr>
          <w:i/>
          <w:iCs/>
          <w:color w:val="000000"/>
        </w:rPr>
        <w:t>See</w:t>
      </w:r>
      <w:r w:rsidR="00C043F0">
        <w:rPr>
          <w:i/>
          <w:iCs/>
          <w:color w:val="000000"/>
        </w:rPr>
        <w:t>,</w:t>
      </w:r>
      <w:r>
        <w:rPr>
          <w:i/>
          <w:iCs/>
          <w:color w:val="000000"/>
        </w:rPr>
        <w:t xml:space="preserve"> e.g</w:t>
      </w:r>
      <w:r>
        <w:rPr>
          <w:color w:val="000000"/>
        </w:rPr>
        <w:t>.</w:t>
      </w:r>
      <w:r w:rsidR="008B54D4">
        <w:rPr>
          <w:color w:val="000000"/>
        </w:rPr>
        <w:t>,</w:t>
      </w:r>
      <w:r>
        <w:rPr>
          <w:color w:val="000000"/>
        </w:rPr>
        <w:t xml:space="preserve"> </w:t>
      </w:r>
      <w:r>
        <w:rPr>
          <w:i/>
          <w:iCs/>
          <w:color w:val="000000"/>
        </w:rPr>
        <w:t>In re Drexel Burnham Lambert Grp</w:t>
      </w:r>
      <w:r>
        <w:rPr>
          <w:color w:val="000000"/>
        </w:rPr>
        <w:t>.</w:t>
      </w:r>
      <w:r w:rsidR="008B54D4">
        <w:rPr>
          <w:color w:val="000000"/>
        </w:rPr>
        <w:t>,</w:t>
      </w:r>
      <w:r>
        <w:rPr>
          <w:color w:val="000000"/>
        </w:rPr>
        <w:t xml:space="preserve"> Inc.</w:t>
      </w:r>
      <w:r w:rsidR="008B54D4">
        <w:rPr>
          <w:color w:val="000000"/>
        </w:rPr>
        <w:t>,</w:t>
      </w:r>
      <w:hyperlink r:id="rId138" w:history="1">
        <w:r>
          <w:rPr>
            <w:color w:val="000000"/>
          </w:rPr>
          <w:t xml:space="preserve"> 960 </w:t>
        </w:r>
        <w:r w:rsidR="000F32DE">
          <w:rPr>
            <w:color w:val="000000"/>
          </w:rPr>
          <w:t>F.</w:t>
        </w:r>
        <w:r>
          <w:rPr>
            <w:color w:val="000000"/>
          </w:rPr>
          <w:t xml:space="preserve">2d 285 </w:t>
        </w:r>
      </w:hyperlink>
      <w:r>
        <w:rPr>
          <w:color w:val="000000"/>
        </w:rPr>
        <w:t xml:space="preserve">(2d </w:t>
      </w:r>
      <w:r w:rsidR="00E97455">
        <w:rPr>
          <w:color w:val="000000"/>
        </w:rPr>
        <w:t xml:space="preserve">Cir. </w:t>
      </w:r>
      <w:r>
        <w:rPr>
          <w:color w:val="000000"/>
        </w:rPr>
        <w:t xml:space="preserve">1992) (securities); </w:t>
      </w:r>
      <w:r>
        <w:rPr>
          <w:i/>
          <w:iCs/>
          <w:color w:val="000000"/>
        </w:rPr>
        <w:t>In re A.H</w:t>
      </w:r>
      <w:r w:rsidR="006A227C">
        <w:rPr>
          <w:i/>
          <w:iCs/>
          <w:color w:val="000000"/>
        </w:rPr>
        <w:t xml:space="preserve">. </w:t>
      </w:r>
      <w:r>
        <w:rPr>
          <w:i/>
          <w:iCs/>
          <w:color w:val="000000"/>
        </w:rPr>
        <w:t>Robins Co.</w:t>
      </w:r>
      <w:r w:rsidR="008B54D4">
        <w:rPr>
          <w:i/>
          <w:iCs/>
          <w:color w:val="000000"/>
        </w:rPr>
        <w:t>,</w:t>
      </w:r>
      <w:r>
        <w:rPr>
          <w:i/>
          <w:iCs/>
          <w:color w:val="000000"/>
        </w:rPr>
        <w:t xml:space="preserve"> Inc</w:t>
      </w:r>
      <w:r>
        <w:rPr>
          <w:color w:val="000000"/>
        </w:rPr>
        <w:t>.</w:t>
      </w:r>
      <w:r w:rsidR="008B54D4">
        <w:rPr>
          <w:color w:val="000000"/>
        </w:rPr>
        <w:t>,</w:t>
      </w:r>
      <w:hyperlink r:id="rId139" w:history="1">
        <w:r>
          <w:rPr>
            <w:color w:val="000000"/>
          </w:rPr>
          <w:t xml:space="preserve"> 880 F.2d 694 </w:t>
        </w:r>
      </w:hyperlink>
      <w:r>
        <w:rPr>
          <w:color w:val="000000"/>
        </w:rPr>
        <w:t xml:space="preserve">(4th </w:t>
      </w:r>
      <w:r w:rsidR="00E97455">
        <w:rPr>
          <w:color w:val="000000"/>
        </w:rPr>
        <w:t xml:space="preserve">Cir. </w:t>
      </w:r>
      <w:r>
        <w:rPr>
          <w:color w:val="000000"/>
        </w:rPr>
        <w:t>1989) (medical devices)</w:t>
      </w:r>
      <w:r w:rsidR="006A227C">
        <w:rPr>
          <w:color w:val="000000"/>
        </w:rPr>
        <w:t xml:space="preserve">.  </w:t>
      </w:r>
      <w:r>
        <w:rPr>
          <w:color w:val="000000"/>
        </w:rPr>
        <w:t>The revisions to the Bankruptcy Code neither extend to those injunctions nor deem them to be statutorily compliant.</w:t>
      </w:r>
    </w:p>
    <w:p w14:paraId="7519D24D" w14:textId="25A886A5" w:rsidR="00A77BBD" w:rsidRDefault="00A77BBD" w:rsidP="00A77BBD">
      <w:pPr>
        <w:pStyle w:val="BodyTextFirstIndent"/>
      </w:pPr>
      <w:r>
        <w:rPr>
          <w:color w:val="000000"/>
        </w:rPr>
        <w:t>At the same Congress passed Sections 524(g) and (h)</w:t>
      </w:r>
      <w:r w:rsidR="008B54D4">
        <w:rPr>
          <w:color w:val="000000"/>
        </w:rPr>
        <w:t>,</w:t>
      </w:r>
      <w:r>
        <w:rPr>
          <w:color w:val="000000"/>
        </w:rPr>
        <w:t xml:space="preserve"> it passed Public Law 111</w:t>
      </w:r>
      <w:r w:rsidR="008B54D4">
        <w:rPr>
          <w:color w:val="000000"/>
        </w:rPr>
        <w:t>,</w:t>
      </w:r>
      <w:r>
        <w:rPr>
          <w:color w:val="000000"/>
        </w:rPr>
        <w:t xml:space="preserve"> which provided a rule of construction for Section 524(g)</w:t>
      </w:r>
      <w:r w:rsidR="006A227C">
        <w:rPr>
          <w:color w:val="000000"/>
        </w:rPr>
        <w:t xml:space="preserve">.  </w:t>
      </w:r>
      <w:r>
        <w:rPr>
          <w:color w:val="000000"/>
        </w:rPr>
        <w:t>It states that nothing in the 1994 amendments to the Bankruptcy Code</w:t>
      </w:r>
      <w:r w:rsidR="008B54D4">
        <w:rPr>
          <w:color w:val="000000"/>
        </w:rPr>
        <w:t>,</w:t>
      </w:r>
      <w:r>
        <w:rPr>
          <w:color w:val="000000"/>
        </w:rPr>
        <w:t xml:space="preserve"> including 524(g)</w:t>
      </w:r>
      <w:r w:rsidR="008B54D4">
        <w:rPr>
          <w:color w:val="000000"/>
        </w:rPr>
        <w:t>,</w:t>
      </w:r>
      <w:r>
        <w:rPr>
          <w:color w:val="000000"/>
        </w:rPr>
        <w:t xml:space="preserve"> “shall be construed to modify</w:t>
      </w:r>
      <w:r w:rsidR="008B54D4">
        <w:rPr>
          <w:color w:val="000000"/>
        </w:rPr>
        <w:t>,</w:t>
      </w:r>
      <w:r>
        <w:rPr>
          <w:color w:val="000000"/>
        </w:rPr>
        <w:t xml:space="preserve"> impair</w:t>
      </w:r>
      <w:r w:rsidR="008B54D4">
        <w:rPr>
          <w:color w:val="000000"/>
        </w:rPr>
        <w:t>,</w:t>
      </w:r>
      <w:r>
        <w:rPr>
          <w:color w:val="000000"/>
        </w:rPr>
        <w:t xml:space="preserve"> or supersede any other authority the court has to issue injunctions in connection with an order confirming a plan of reorganization</w:t>
      </w:r>
      <w:r w:rsidR="00FA79C1">
        <w:rPr>
          <w:color w:val="000000"/>
        </w:rPr>
        <w:t xml:space="preserve">.”  </w:t>
      </w:r>
      <w:r>
        <w:rPr>
          <w:color w:val="000000"/>
        </w:rPr>
        <w:t>Pub</w:t>
      </w:r>
      <w:r w:rsidR="006A227C">
        <w:rPr>
          <w:color w:val="000000"/>
        </w:rPr>
        <w:t xml:space="preserve">. </w:t>
      </w:r>
      <w:r>
        <w:rPr>
          <w:color w:val="000000"/>
        </w:rPr>
        <w:t>L</w:t>
      </w:r>
      <w:r w:rsidR="006A227C">
        <w:rPr>
          <w:color w:val="000000"/>
        </w:rPr>
        <w:t xml:space="preserve">. </w:t>
      </w:r>
      <w:r>
        <w:rPr>
          <w:color w:val="000000"/>
        </w:rPr>
        <w:t>103-394 § 111(b) (uncodified)</w:t>
      </w:r>
      <w:r w:rsidR="006A227C">
        <w:rPr>
          <w:color w:val="000000"/>
        </w:rPr>
        <w:t xml:space="preserve">.  </w:t>
      </w:r>
      <w:r>
        <w:rPr>
          <w:color w:val="000000"/>
        </w:rPr>
        <w:t>Congress made this statement because the parties in non-asbestos bankruptcy cases took the position that Sections 524(g) and (h) were unnecessary</w:t>
      </w:r>
      <w:r w:rsidR="008B54D4">
        <w:rPr>
          <w:color w:val="000000"/>
        </w:rPr>
        <w:t>,</w:t>
      </w:r>
      <w:r>
        <w:rPr>
          <w:color w:val="000000"/>
        </w:rPr>
        <w:t xml:space="preserve"> in that bankruptcy courts already authorized the entry of such injunctions and corresponding approval of non-debtor releases - viz</w:t>
      </w:r>
      <w:r w:rsidR="008B54D4">
        <w:rPr>
          <w:color w:val="000000"/>
        </w:rPr>
        <w:t>,</w:t>
      </w:r>
      <w:r>
        <w:rPr>
          <w:color w:val="000000"/>
        </w:rPr>
        <w:t xml:space="preserve"> </w:t>
      </w:r>
      <w:r>
        <w:rPr>
          <w:i/>
          <w:iCs/>
          <w:color w:val="000000"/>
        </w:rPr>
        <w:t>Robins</w:t>
      </w:r>
      <w:r>
        <w:rPr>
          <w:color w:val="000000"/>
        </w:rPr>
        <w:t xml:space="preserve"> and </w:t>
      </w:r>
      <w:r>
        <w:rPr>
          <w:i/>
          <w:iCs/>
          <w:color w:val="000000"/>
        </w:rPr>
        <w:t>Drexel</w:t>
      </w:r>
      <w:r w:rsidR="006A227C">
        <w:rPr>
          <w:color w:val="000000"/>
        </w:rPr>
        <w:t xml:space="preserve">.  </w:t>
      </w:r>
      <w:r>
        <w:rPr>
          <w:color w:val="000000"/>
        </w:rPr>
        <w:t>But the passage of Public Law 111 did not mean that Congress agreed with that position</w:t>
      </w:r>
      <w:r w:rsidR="006A227C">
        <w:rPr>
          <w:color w:val="000000"/>
        </w:rPr>
        <w:t xml:space="preserve">.  </w:t>
      </w:r>
      <w:r>
        <w:rPr>
          <w:color w:val="000000"/>
        </w:rPr>
        <w:t>As the House Committee on the Judiciary noted in the legislative history of these new provisions:</w:t>
      </w:r>
    </w:p>
    <w:p w14:paraId="7AA5D539" w14:textId="5D213B62" w:rsidR="00A77BBD" w:rsidRDefault="00A77BBD" w:rsidP="00AB5D25">
      <w:pPr>
        <w:pStyle w:val="BlockText"/>
      </w:pPr>
      <w:r>
        <w:t xml:space="preserve">Section 111(b) </w:t>
      </w:r>
      <w:r w:rsidR="00110F91">
        <w:t xml:space="preserve">. . . </w:t>
      </w:r>
      <w:r>
        <w:t xml:space="preserve">make[s] clear that the special rule being devised for the asbestos claim trust/injunction mechanism is not intended to alter any authority bankruptcy courts </w:t>
      </w:r>
      <w:r>
        <w:rPr>
          <w:i/>
          <w:iCs/>
        </w:rPr>
        <w:t>may</w:t>
      </w:r>
      <w:r>
        <w:t xml:space="preserve"> already have to issue injunctions in connection with a plan [of] reorganization</w:t>
      </w:r>
      <w:r w:rsidR="006A227C">
        <w:t xml:space="preserve">.  </w:t>
      </w:r>
      <w:r>
        <w:t>Indeed</w:t>
      </w:r>
      <w:r w:rsidR="008B54D4">
        <w:t>,</w:t>
      </w:r>
      <w:r>
        <w:t xml:space="preserve"> [asbestos suppliers] Johns-Manville and UNR firmly believe that the court in their cases had full authority to approve the trust/injunction mechanism</w:t>
      </w:r>
      <w:r w:rsidR="006A227C">
        <w:t xml:space="preserve">.  </w:t>
      </w:r>
      <w:r>
        <w:t>And other debtors in other industries are reportedly beginning to experiment with similar mechanisms</w:t>
      </w:r>
      <w:r w:rsidR="006A227C">
        <w:t xml:space="preserve">.  </w:t>
      </w:r>
      <w:r>
        <w:rPr>
          <w:i/>
          <w:iCs/>
        </w:rPr>
        <w:t>The Committee expresses no opinion as to how much authority a bankruptcy court may generally have under its traditional equitable powers to issue an enforceable injunction of this kind.</w:t>
      </w:r>
    </w:p>
    <w:p w14:paraId="46F1D249" w14:textId="616C2840" w:rsidR="00A77BBD" w:rsidRDefault="00A77BBD" w:rsidP="00964D23">
      <w:pPr>
        <w:pStyle w:val="BodyTextFirstIndent"/>
        <w:ind w:firstLine="0"/>
      </w:pPr>
      <w:r>
        <w:rPr>
          <w:color w:val="000000"/>
        </w:rPr>
        <w:t>Vol</w:t>
      </w:r>
      <w:r w:rsidR="006A227C">
        <w:rPr>
          <w:color w:val="000000"/>
        </w:rPr>
        <w:t xml:space="preserve">. </w:t>
      </w:r>
      <w:r>
        <w:rPr>
          <w:color w:val="000000"/>
        </w:rPr>
        <w:t>E.</w:t>
      </w:r>
      <w:r w:rsidR="008B54D4">
        <w:rPr>
          <w:color w:val="000000"/>
        </w:rPr>
        <w:t>,</w:t>
      </w:r>
      <w:r>
        <w:rPr>
          <w:color w:val="000000"/>
        </w:rPr>
        <w:t xml:space="preserve"> </w:t>
      </w:r>
      <w:r>
        <w:rPr>
          <w:i/>
          <w:iCs/>
          <w:color w:val="000000"/>
        </w:rPr>
        <w:t>Collier on Bankruptcy</w:t>
      </w:r>
      <w:r w:rsidR="008B54D4" w:rsidRPr="00C043F0">
        <w:rPr>
          <w:color w:val="000000"/>
        </w:rPr>
        <w:t>,</w:t>
      </w:r>
      <w:r>
        <w:rPr>
          <w:color w:val="000000"/>
        </w:rPr>
        <w:t xml:space="preserve"> at App</w:t>
      </w:r>
      <w:r w:rsidR="006A227C">
        <w:rPr>
          <w:color w:val="000000"/>
        </w:rPr>
        <w:t xml:space="preserve">. </w:t>
      </w:r>
      <w:r>
        <w:rPr>
          <w:color w:val="000000"/>
        </w:rPr>
        <w:t>Pt</w:t>
      </w:r>
      <w:r w:rsidR="006A227C">
        <w:rPr>
          <w:color w:val="000000"/>
        </w:rPr>
        <w:t xml:space="preserve">. </w:t>
      </w:r>
      <w:r>
        <w:rPr>
          <w:color w:val="000000"/>
        </w:rPr>
        <w:t>9-78 (reprinting legislative history pertaining to the 1994 Code amendments) (emphasis added)</w:t>
      </w:r>
      <w:r w:rsidR="006A227C">
        <w:rPr>
          <w:color w:val="000000"/>
        </w:rPr>
        <w:t xml:space="preserve">.  </w:t>
      </w:r>
      <w:r>
        <w:rPr>
          <w:color w:val="000000"/>
        </w:rPr>
        <w:t>P.L</w:t>
      </w:r>
      <w:r w:rsidR="006A227C">
        <w:rPr>
          <w:color w:val="000000"/>
        </w:rPr>
        <w:t xml:space="preserve">. </w:t>
      </w:r>
      <w:r>
        <w:rPr>
          <w:color w:val="000000"/>
        </w:rPr>
        <w:t>111 was not incorporated into the Bankruptcy Code.</w:t>
      </w:r>
    </w:p>
    <w:p w14:paraId="461D079F" w14:textId="192AD885" w:rsidR="00A77BBD" w:rsidRDefault="00A77BBD" w:rsidP="00A77BBD">
      <w:pPr>
        <w:pStyle w:val="BodyTextFirstIndent"/>
      </w:pPr>
      <w:r>
        <w:rPr>
          <w:color w:val="000000"/>
        </w:rPr>
        <w:t>Congress</w:t>
      </w:r>
      <w:r w:rsidR="008B54D4">
        <w:rPr>
          <w:color w:val="000000"/>
        </w:rPr>
        <w:t>’</w:t>
      </w:r>
      <w:r>
        <w:rPr>
          <w:color w:val="000000"/>
        </w:rPr>
        <w:t xml:space="preserve"> used of the word “may” indicates that a bankruptcy court</w:t>
      </w:r>
      <w:r w:rsidR="008B54D4">
        <w:rPr>
          <w:color w:val="000000"/>
        </w:rPr>
        <w:t>’</w:t>
      </w:r>
      <w:r>
        <w:rPr>
          <w:color w:val="000000"/>
        </w:rPr>
        <w:t>s authority to enter such an injunction was at best uncertain</w:t>
      </w:r>
      <w:r w:rsidR="006A227C">
        <w:rPr>
          <w:color w:val="000000"/>
        </w:rPr>
        <w:t xml:space="preserve">.  </w:t>
      </w:r>
      <w:r>
        <w:rPr>
          <w:color w:val="000000"/>
        </w:rPr>
        <w:t>And in light of the last sentence - in which the Committee made it clear that Congress expressed no opinion on that subject - one cannot read this tidbit of legislative history as indicating that Congress had concluded that a bankruptcy court already had such authority under its “traditional equitable powers.”</w:t>
      </w:r>
    </w:p>
    <w:p w14:paraId="4D392AF9" w14:textId="060C29F7" w:rsidR="00A77BBD" w:rsidRDefault="00A77BBD" w:rsidP="00DE7588">
      <w:pPr>
        <w:pStyle w:val="BodyTextFirstIndent"/>
      </w:pPr>
      <w:r>
        <w:rPr>
          <w:color w:val="000000"/>
        </w:rPr>
        <w:t>During the course of this appeal</w:t>
      </w:r>
      <w:r w:rsidR="008B54D4">
        <w:rPr>
          <w:color w:val="000000"/>
        </w:rPr>
        <w:t>,</w:t>
      </w:r>
      <w:r>
        <w:rPr>
          <w:color w:val="000000"/>
        </w:rPr>
        <w:t xml:space="preserve"> it has been suggested that </w:t>
      </w:r>
      <w:r w:rsidR="00964D23">
        <w:rPr>
          <w:color w:val="000000"/>
        </w:rPr>
        <w:t xml:space="preserve">P.L. </w:t>
      </w:r>
      <w:r>
        <w:rPr>
          <w:color w:val="000000"/>
        </w:rPr>
        <w:t>111 expresses Congress</w:t>
      </w:r>
      <w:r w:rsidR="008B54D4">
        <w:rPr>
          <w:color w:val="000000"/>
        </w:rPr>
        <w:t>’</w:t>
      </w:r>
      <w:r w:rsidR="00964D23">
        <w:rPr>
          <w:color w:val="000000"/>
        </w:rPr>
        <w:t xml:space="preserve"> </w:t>
      </w:r>
      <w:r>
        <w:rPr>
          <w:color w:val="000000"/>
        </w:rPr>
        <w:t>intent to pass a limited law and then allow the courts to work out the contours of whether and how</w:t>
      </w:r>
      <w:r w:rsidR="00964D23">
        <w:rPr>
          <w:color w:val="000000"/>
        </w:rPr>
        <w:t xml:space="preserve"> </w:t>
      </w:r>
      <w:r>
        <w:rPr>
          <w:color w:val="000000"/>
        </w:rPr>
        <w:t>to extend § 524(g)-style authority outside the asbestos context.</w:t>
      </w:r>
      <w:r>
        <w:rPr>
          <w:rStyle w:val="FootnoteReference"/>
          <w:rFonts w:eastAsia="Times New Roman" w:cs="Times New Roman"/>
          <w:color w:val="000000"/>
          <w:vertAlign w:val="superscript"/>
        </w:rPr>
        <w:footnoteReference w:id="32"/>
      </w:r>
      <w:r>
        <w:rPr>
          <w:color w:val="000000"/>
        </w:rPr>
        <w:t xml:space="preserve"> </w:t>
      </w:r>
      <w:r w:rsidR="00964D23">
        <w:rPr>
          <w:color w:val="000000"/>
        </w:rPr>
        <w:t xml:space="preserve"> </w:t>
      </w:r>
      <w:r>
        <w:rPr>
          <w:color w:val="000000"/>
        </w:rPr>
        <w:t>The very next sentence from that</w:t>
      </w:r>
      <w:r w:rsidR="00964D23">
        <w:rPr>
          <w:color w:val="000000"/>
        </w:rPr>
        <w:t xml:space="preserve"> </w:t>
      </w:r>
      <w:r>
        <w:rPr>
          <w:color w:val="000000"/>
        </w:rPr>
        <w:t>statute</w:t>
      </w:r>
      <w:r w:rsidR="008B54D4">
        <w:rPr>
          <w:color w:val="000000"/>
        </w:rPr>
        <w:t>’</w:t>
      </w:r>
      <w:r>
        <w:rPr>
          <w:color w:val="000000"/>
        </w:rPr>
        <w:t>s legislative history reveals that nothing could be further from the truth</w:t>
      </w:r>
      <w:r w:rsidR="00DE7588">
        <w:rPr>
          <w:color w:val="000000"/>
        </w:rPr>
        <w:t>.</w:t>
      </w:r>
      <w:r w:rsidR="00DE7588">
        <w:t xml:space="preserve"> “</w:t>
      </w:r>
      <w:r w:rsidRPr="00DE7588">
        <w:rPr>
          <w:b/>
          <w:bCs/>
          <w:color w:val="000000"/>
        </w:rPr>
        <w:t>The Committee has decided to provide explicit authority in the asbestos area because of the singular cumulative magnitude of the claims involved</w:t>
      </w:r>
      <w:r w:rsidR="006A227C" w:rsidRPr="00DE7588">
        <w:rPr>
          <w:b/>
          <w:bCs/>
          <w:color w:val="000000"/>
        </w:rPr>
        <w:t xml:space="preserve">.  </w:t>
      </w:r>
      <w:r w:rsidRPr="00DE7588">
        <w:rPr>
          <w:b/>
          <w:bCs/>
          <w:color w:val="000000"/>
        </w:rPr>
        <w:t xml:space="preserve">How the new statutory mechanism works </w:t>
      </w:r>
      <w:r w:rsidRPr="00DE7588">
        <w:rPr>
          <w:b/>
          <w:bCs/>
          <w:i/>
          <w:iCs/>
          <w:color w:val="000000"/>
        </w:rPr>
        <w:t>in the asbestos area</w:t>
      </w:r>
      <w:r w:rsidRPr="00DE7588">
        <w:rPr>
          <w:b/>
          <w:bCs/>
          <w:color w:val="000000"/>
        </w:rPr>
        <w:t xml:space="preserve"> may help the </w:t>
      </w:r>
      <w:r w:rsidR="005227D9" w:rsidRPr="00DE7588">
        <w:rPr>
          <w:b/>
          <w:bCs/>
          <w:color w:val="000000"/>
        </w:rPr>
        <w:t>bankruptcy</w:t>
      </w:r>
      <w:r w:rsidRPr="00DE7588">
        <w:rPr>
          <w:b/>
          <w:bCs/>
          <w:color w:val="000000"/>
        </w:rPr>
        <w:t xml:space="preserve"> judge </w:t>
      </w:r>
      <w:r w:rsidR="005227D9" w:rsidRPr="00DE7588">
        <w:rPr>
          <w:b/>
          <w:bCs/>
          <w:color w:val="000000"/>
        </w:rPr>
        <w:t>determine</w:t>
      </w:r>
      <w:r w:rsidR="00DE7588" w:rsidRPr="00DE7588">
        <w:rPr>
          <w:b/>
          <w:bCs/>
          <w:color w:val="000000"/>
        </w:rPr>
        <w:t xml:space="preserve"> </w:t>
      </w:r>
      <w:r w:rsidRPr="00DE7588">
        <w:rPr>
          <w:b/>
          <w:bCs/>
          <w:color w:val="000000"/>
        </w:rPr>
        <w:t xml:space="preserve">whether the concept should be extended </w:t>
      </w:r>
      <w:r w:rsidRPr="00DE7588">
        <w:rPr>
          <w:b/>
          <w:bCs/>
          <w:i/>
          <w:iCs/>
          <w:color w:val="000000"/>
        </w:rPr>
        <w:t>into other areas</w:t>
      </w:r>
      <w:r>
        <w:rPr>
          <w:color w:val="000000"/>
        </w:rPr>
        <w:t>.</w:t>
      </w:r>
      <w:r w:rsidR="00DE7588">
        <w:rPr>
          <w:color w:val="000000"/>
        </w:rPr>
        <w:t>”</w:t>
      </w:r>
      <w:r w:rsidR="00964D23">
        <w:rPr>
          <w:color w:val="000000"/>
        </w:rPr>
        <w:t xml:space="preserve">  </w:t>
      </w:r>
      <w:r w:rsidR="00FD7892">
        <w:rPr>
          <w:i/>
          <w:iCs/>
          <w:color w:val="000000"/>
        </w:rPr>
        <w:t xml:space="preserve">Id. </w:t>
      </w:r>
      <w:r>
        <w:rPr>
          <w:color w:val="000000"/>
        </w:rPr>
        <w:t>(Emphasis added)</w:t>
      </w:r>
    </w:p>
    <w:p w14:paraId="25326807" w14:textId="45C9ABFC" w:rsidR="00A77BBD" w:rsidRDefault="00A77BBD" w:rsidP="00A77BBD">
      <w:pPr>
        <w:pStyle w:val="BodyTextFirstIndent"/>
      </w:pPr>
      <w:r>
        <w:rPr>
          <w:color w:val="000000"/>
        </w:rPr>
        <w:t>Plainly</w:t>
      </w:r>
      <w:r w:rsidR="008B54D4">
        <w:rPr>
          <w:color w:val="000000"/>
        </w:rPr>
        <w:t>,</w:t>
      </w:r>
      <w:r>
        <w:rPr>
          <w:color w:val="000000"/>
        </w:rPr>
        <w:t xml:space="preserve"> Congress made a decision to limit the scope of the experimenting that was “reportedly” to be happening (and that was in fact happening) in other industries</w:t>
      </w:r>
      <w:r w:rsidR="006A227C">
        <w:rPr>
          <w:color w:val="000000"/>
        </w:rPr>
        <w:t xml:space="preserve">.  </w:t>
      </w:r>
      <w:r>
        <w:rPr>
          <w:color w:val="000000"/>
        </w:rPr>
        <w:t>And it left to itself</w:t>
      </w:r>
      <w:r w:rsidR="008B54D4">
        <w:rPr>
          <w:color w:val="000000"/>
        </w:rPr>
        <w:t>,</w:t>
      </w:r>
      <w:r>
        <w:rPr>
          <w:color w:val="000000"/>
        </w:rPr>
        <w:t xml:space="preserve"> not the courts</w:t>
      </w:r>
      <w:r w:rsidR="008B54D4">
        <w:rPr>
          <w:color w:val="000000"/>
        </w:rPr>
        <w:t>,</w:t>
      </w:r>
      <w:r>
        <w:rPr>
          <w:color w:val="000000"/>
        </w:rPr>
        <w:t xml:space="preserve"> the task of determining whether and how to extend a rule permitting non</w:t>
      </w:r>
      <w:r>
        <w:rPr>
          <w:color w:val="000000"/>
        </w:rPr>
        <w:softHyphen/>
        <w:t>debtor releases “notwithstanding the provisions of section 524(e)” into other areas.</w:t>
      </w:r>
    </w:p>
    <w:p w14:paraId="19CD98A8" w14:textId="2FAB2DAC" w:rsidR="00A77BBD" w:rsidRDefault="00A77BBD" w:rsidP="00A77BBD">
      <w:pPr>
        <w:pStyle w:val="BodyTextFirstIndent"/>
      </w:pPr>
      <w:r>
        <w:rPr>
          <w:color w:val="000000"/>
        </w:rPr>
        <w:t>Since 1994</w:t>
      </w:r>
      <w:r w:rsidR="008B54D4">
        <w:rPr>
          <w:color w:val="000000"/>
        </w:rPr>
        <w:t>,</w:t>
      </w:r>
      <w:r>
        <w:rPr>
          <w:color w:val="000000"/>
        </w:rPr>
        <w:t xml:space="preserve"> Congress has been silent on this subject.</w:t>
      </w:r>
    </w:p>
    <w:p w14:paraId="7F661CC6" w14:textId="6FE6C6C5" w:rsidR="00A77BBD" w:rsidRDefault="00A77BBD" w:rsidP="00964D23">
      <w:pPr>
        <w:pStyle w:val="Heading3"/>
      </w:pPr>
      <w:r>
        <w:t>Survey of the Relevant Case Law</w:t>
      </w:r>
    </w:p>
    <w:p w14:paraId="0B6ADD88" w14:textId="0BAEF106" w:rsidR="00A77BBD" w:rsidRPr="00AB5D25" w:rsidRDefault="00A77BBD" w:rsidP="00AB5D25">
      <w:pPr>
        <w:pStyle w:val="Heading4"/>
        <w:keepNext/>
        <w:rPr>
          <w:u w:val="single"/>
        </w:rPr>
      </w:pPr>
      <w:r w:rsidRPr="00AB5D25">
        <w:rPr>
          <w:u w:val="single"/>
        </w:rPr>
        <w:t>Supreme Court Law</w:t>
      </w:r>
    </w:p>
    <w:p w14:paraId="1D780192" w14:textId="0BAB6FFE" w:rsidR="00A77BBD" w:rsidRDefault="00A77BBD" w:rsidP="00A77BBD">
      <w:pPr>
        <w:pStyle w:val="BodyTextFirstIndent"/>
      </w:pPr>
      <w:r>
        <w:rPr>
          <w:color w:val="000000"/>
        </w:rPr>
        <w:t>The United States Supreme Court has never specifically considered whether the non</w:t>
      </w:r>
      <w:r>
        <w:rPr>
          <w:color w:val="000000"/>
        </w:rPr>
        <w:softHyphen/>
        <w:t>consensual release of non-derivative claims asserted by third parties against non-debtors can be approved in the context of a debtor</w:t>
      </w:r>
      <w:r w:rsidR="008B54D4">
        <w:rPr>
          <w:color w:val="000000"/>
        </w:rPr>
        <w:t>’</w:t>
      </w:r>
      <w:r>
        <w:rPr>
          <w:color w:val="000000"/>
        </w:rPr>
        <w:t>s bankruptcy</w:t>
      </w:r>
      <w:r w:rsidR="006A227C">
        <w:rPr>
          <w:color w:val="000000"/>
        </w:rPr>
        <w:t xml:space="preserve">.  </w:t>
      </w:r>
      <w:r>
        <w:rPr>
          <w:color w:val="000000"/>
        </w:rPr>
        <w:t>Indeed</w:t>
      </w:r>
      <w:r w:rsidR="008B54D4">
        <w:rPr>
          <w:color w:val="000000"/>
        </w:rPr>
        <w:t>,</w:t>
      </w:r>
      <w:r>
        <w:rPr>
          <w:color w:val="000000"/>
        </w:rPr>
        <w:t xml:space="preserve"> on </w:t>
      </w:r>
      <w:r>
        <w:rPr>
          <w:i/>
          <w:iCs/>
          <w:color w:val="000000"/>
        </w:rPr>
        <w:t>certiorari</w:t>
      </w:r>
      <w:r>
        <w:rPr>
          <w:color w:val="000000"/>
        </w:rPr>
        <w:t xml:space="preserve"> to the Second Circuit from one of its orders in the ongoing </w:t>
      </w:r>
      <w:r>
        <w:rPr>
          <w:i/>
          <w:iCs/>
          <w:color w:val="000000"/>
        </w:rPr>
        <w:t>Manville</w:t>
      </w:r>
      <w:r>
        <w:rPr>
          <w:color w:val="000000"/>
        </w:rPr>
        <w:t xml:space="preserve"> saga</w:t>
      </w:r>
      <w:r w:rsidR="008B54D4">
        <w:rPr>
          <w:color w:val="000000"/>
        </w:rPr>
        <w:t>,</w:t>
      </w:r>
      <w:r>
        <w:rPr>
          <w:color w:val="000000"/>
        </w:rPr>
        <w:t xml:space="preserve"> the High Court announced that its opinion did “not resolve whether a bankruptcy court</w:t>
      </w:r>
      <w:r w:rsidR="008B54D4">
        <w:rPr>
          <w:color w:val="000000"/>
        </w:rPr>
        <w:t>,</w:t>
      </w:r>
      <w:r>
        <w:rPr>
          <w:color w:val="000000"/>
        </w:rPr>
        <w:t xml:space="preserve"> in 1986 or today</w:t>
      </w:r>
      <w:r w:rsidR="008B54D4">
        <w:rPr>
          <w:color w:val="000000"/>
        </w:rPr>
        <w:t>,</w:t>
      </w:r>
      <w:r>
        <w:rPr>
          <w:color w:val="000000"/>
        </w:rPr>
        <w:t xml:space="preserve"> could properly enjoin claims against nondebtor insurers that are not derivative of the debtor</w:t>
      </w:r>
      <w:r w:rsidR="008B54D4">
        <w:rPr>
          <w:color w:val="000000"/>
        </w:rPr>
        <w:t>’</w:t>
      </w:r>
      <w:r>
        <w:rPr>
          <w:color w:val="000000"/>
        </w:rPr>
        <w:t>s wrongdoing</w:t>
      </w:r>
      <w:r w:rsidR="00FA79C1">
        <w:rPr>
          <w:color w:val="000000"/>
        </w:rPr>
        <w:t xml:space="preserve">.”  </w:t>
      </w:r>
      <w:r>
        <w:rPr>
          <w:i/>
          <w:iCs/>
          <w:color w:val="000000"/>
        </w:rPr>
        <w:t>Travelers Indem</w:t>
      </w:r>
      <w:r w:rsidR="006A227C">
        <w:rPr>
          <w:i/>
          <w:iCs/>
          <w:color w:val="000000"/>
        </w:rPr>
        <w:t xml:space="preserve">. </w:t>
      </w:r>
      <w:r w:rsidR="000D3228">
        <w:rPr>
          <w:i/>
          <w:iCs/>
          <w:color w:val="000000"/>
        </w:rPr>
        <w:t xml:space="preserve">Co. </w:t>
      </w:r>
      <w:r>
        <w:rPr>
          <w:i/>
          <w:iCs/>
          <w:color w:val="000000"/>
        </w:rPr>
        <w:t>v.</w:t>
      </w:r>
      <w:r w:rsidR="00AB5D25">
        <w:rPr>
          <w:i/>
          <w:iCs/>
          <w:color w:val="000000"/>
        </w:rPr>
        <w:t xml:space="preserve"> </w:t>
      </w:r>
      <w:r>
        <w:rPr>
          <w:i/>
          <w:iCs/>
          <w:color w:val="000000"/>
        </w:rPr>
        <w:t>Bailey</w:t>
      </w:r>
      <w:r w:rsidR="008B54D4">
        <w:rPr>
          <w:color w:val="000000"/>
        </w:rPr>
        <w:t>,</w:t>
      </w:r>
      <w:hyperlink r:id="rId140" w:history="1">
        <w:r>
          <w:rPr>
            <w:color w:val="000000"/>
          </w:rPr>
          <w:t xml:space="preserve"> 557 </w:t>
        </w:r>
        <w:r w:rsidR="002F10FB">
          <w:rPr>
            <w:color w:val="000000"/>
          </w:rPr>
          <w:t xml:space="preserve">U.S. </w:t>
        </w:r>
        <w:r>
          <w:rPr>
            <w:color w:val="000000"/>
          </w:rPr>
          <w:t>at 155</w:t>
        </w:r>
      </w:hyperlink>
      <w:r>
        <w:rPr>
          <w:color w:val="000000"/>
        </w:rPr>
        <w:t>.</w:t>
      </w:r>
    </w:p>
    <w:p w14:paraId="1FE0FCC2" w14:textId="1E649994" w:rsidR="00A77BBD" w:rsidRDefault="00A77BBD" w:rsidP="00A77BBD">
      <w:pPr>
        <w:pStyle w:val="BodyTextFirstIndent"/>
      </w:pPr>
      <w:r>
        <w:rPr>
          <w:color w:val="000000"/>
        </w:rPr>
        <w:t>The Court has</w:t>
      </w:r>
      <w:r w:rsidR="008B54D4">
        <w:rPr>
          <w:color w:val="000000"/>
        </w:rPr>
        <w:t>,</w:t>
      </w:r>
      <w:r>
        <w:rPr>
          <w:color w:val="000000"/>
        </w:rPr>
        <w:t xml:space="preserve"> however</w:t>
      </w:r>
      <w:r w:rsidR="008B54D4">
        <w:rPr>
          <w:color w:val="000000"/>
        </w:rPr>
        <w:t>,</w:t>
      </w:r>
      <w:r>
        <w:rPr>
          <w:color w:val="000000"/>
        </w:rPr>
        <w:t xml:space="preserve"> spoken on several occasions about issues that are germane to the consideration of that question.</w:t>
      </w:r>
    </w:p>
    <w:p w14:paraId="5CE3C8D0" w14:textId="1BB2AF17" w:rsidR="00A77BBD" w:rsidRDefault="00A77BBD" w:rsidP="00A77BBD">
      <w:pPr>
        <w:pStyle w:val="BodyTextFirstIndent"/>
      </w:pPr>
      <w:r>
        <w:rPr>
          <w:color w:val="000000"/>
        </w:rPr>
        <w:t>For one thing</w:t>
      </w:r>
      <w:r w:rsidR="008B54D4">
        <w:rPr>
          <w:color w:val="000000"/>
        </w:rPr>
        <w:t>,</w:t>
      </w:r>
      <w:r>
        <w:rPr>
          <w:color w:val="000000"/>
        </w:rPr>
        <w:t xml:space="preserve"> the Court has indicated that the Bankruptcy Code was intended to be</w:t>
      </w:r>
      <w:r w:rsidR="00AB5D25">
        <w:rPr>
          <w:color w:val="000000"/>
        </w:rPr>
        <w:t xml:space="preserve"> </w:t>
      </w:r>
      <w:r>
        <w:rPr>
          <w:color w:val="000000"/>
        </w:rPr>
        <w:t>“comprehensive</w:t>
      </w:r>
      <w:r w:rsidR="00FA79C1">
        <w:rPr>
          <w:color w:val="000000"/>
        </w:rPr>
        <w:t xml:space="preserve">.”  </w:t>
      </w:r>
      <w:r>
        <w:rPr>
          <w:i/>
          <w:iCs/>
          <w:color w:val="000000"/>
        </w:rPr>
        <w:t>See RadLAX Gateway Hotel</w:t>
      </w:r>
      <w:r w:rsidR="008B54D4">
        <w:rPr>
          <w:i/>
          <w:iCs/>
          <w:color w:val="000000"/>
        </w:rPr>
        <w:t>,</w:t>
      </w:r>
      <w:r>
        <w:rPr>
          <w:i/>
          <w:iCs/>
          <w:color w:val="000000"/>
        </w:rPr>
        <w:t xml:space="preserve"> LLC</w:t>
      </w:r>
      <w:r w:rsidR="00E150C1">
        <w:rPr>
          <w:i/>
          <w:iCs/>
          <w:color w:val="000000"/>
        </w:rPr>
        <w:t xml:space="preserve"> v. </w:t>
      </w:r>
      <w:r>
        <w:rPr>
          <w:i/>
          <w:iCs/>
          <w:color w:val="000000"/>
        </w:rPr>
        <w:t>Amalgamated Bank</w:t>
      </w:r>
      <w:r w:rsidR="008B54D4">
        <w:rPr>
          <w:color w:val="000000"/>
        </w:rPr>
        <w:t>,</w:t>
      </w:r>
      <w:hyperlink r:id="rId141" w:history="1">
        <w:r>
          <w:rPr>
            <w:color w:val="000000"/>
          </w:rPr>
          <w:t xml:space="preserve"> 566 </w:t>
        </w:r>
        <w:r w:rsidR="002F10FB">
          <w:rPr>
            <w:color w:val="000000"/>
          </w:rPr>
          <w:t xml:space="preserve">U.S. </w:t>
        </w:r>
        <w:r>
          <w:rPr>
            <w:color w:val="000000"/>
          </w:rPr>
          <w:t>639</w:t>
        </w:r>
        <w:r w:rsidR="008B54D4">
          <w:rPr>
            <w:color w:val="000000"/>
          </w:rPr>
          <w:t>,</w:t>
        </w:r>
        <w:r>
          <w:rPr>
            <w:color w:val="000000"/>
          </w:rPr>
          <w:t xml:space="preserve"> 645</w:t>
        </w:r>
      </w:hyperlink>
      <w:r w:rsidR="00AB5D25">
        <w:rPr>
          <w:color w:val="000000"/>
        </w:rPr>
        <w:t xml:space="preserve"> </w:t>
      </w:r>
      <w:r>
        <w:rPr>
          <w:color w:val="000000"/>
        </w:rPr>
        <w:t>(2012) (“Congress has enacted a comprehensive scheme and has deliberately targeted specific problems with specific solutions”) (</w:t>
      </w:r>
      <w:r w:rsidRPr="005227D9">
        <w:rPr>
          <w:i/>
          <w:iCs/>
          <w:color w:val="000000"/>
        </w:rPr>
        <w:t>quoting</w:t>
      </w:r>
      <w:r w:rsidR="00DE7588">
        <w:rPr>
          <w:i/>
          <w:iCs/>
          <w:color w:val="000000"/>
        </w:rPr>
        <w:t>,</w:t>
      </w:r>
      <w:r w:rsidRPr="005227D9">
        <w:rPr>
          <w:i/>
          <w:iCs/>
          <w:color w:val="000000"/>
        </w:rPr>
        <w:t xml:space="preserve"> </w:t>
      </w:r>
      <w:r>
        <w:rPr>
          <w:i/>
          <w:iCs/>
          <w:color w:val="000000"/>
        </w:rPr>
        <w:t>Varity Corp</w:t>
      </w:r>
      <w:r w:rsidR="006A227C">
        <w:rPr>
          <w:i/>
          <w:iCs/>
          <w:color w:val="000000"/>
        </w:rPr>
        <w:t>.</w:t>
      </w:r>
      <w:r w:rsidR="00E150C1">
        <w:rPr>
          <w:i/>
          <w:iCs/>
          <w:color w:val="000000"/>
        </w:rPr>
        <w:t xml:space="preserve"> v. </w:t>
      </w:r>
      <w:r>
        <w:rPr>
          <w:i/>
          <w:iCs/>
          <w:color w:val="000000"/>
        </w:rPr>
        <w:t>Howe</w:t>
      </w:r>
      <w:r w:rsidR="008B54D4">
        <w:rPr>
          <w:color w:val="000000"/>
        </w:rPr>
        <w:t>,</w:t>
      </w:r>
      <w:hyperlink r:id="rId142" w:history="1">
        <w:r>
          <w:rPr>
            <w:color w:val="000000"/>
          </w:rPr>
          <w:t xml:space="preserve"> 516 </w:t>
        </w:r>
        <w:r w:rsidR="002F10FB">
          <w:rPr>
            <w:color w:val="000000"/>
          </w:rPr>
          <w:t xml:space="preserve">U.S. </w:t>
        </w:r>
        <w:r>
          <w:rPr>
            <w:color w:val="000000"/>
          </w:rPr>
          <w:t>489</w:t>
        </w:r>
        <w:r w:rsidR="008B54D4">
          <w:rPr>
            <w:color w:val="000000"/>
          </w:rPr>
          <w:t>,</w:t>
        </w:r>
        <w:r>
          <w:rPr>
            <w:color w:val="000000"/>
          </w:rPr>
          <w:t xml:space="preserve"> 519 </w:t>
        </w:r>
      </w:hyperlink>
      <w:r>
        <w:rPr>
          <w:color w:val="000000"/>
        </w:rPr>
        <w:t>(1996)</w:t>
      </w:r>
      <w:r w:rsidR="00AB5D25">
        <w:rPr>
          <w:color w:val="000000"/>
        </w:rPr>
        <w:t xml:space="preserve"> </w:t>
      </w:r>
      <w:r>
        <w:rPr>
          <w:color w:val="000000"/>
        </w:rPr>
        <w:t>(Thomas</w:t>
      </w:r>
      <w:r w:rsidR="008B54D4">
        <w:rPr>
          <w:color w:val="000000"/>
        </w:rPr>
        <w:t>,</w:t>
      </w:r>
      <w:r>
        <w:rPr>
          <w:color w:val="000000"/>
        </w:rPr>
        <w:t xml:space="preserve"> J.</w:t>
      </w:r>
      <w:r w:rsidR="008B54D4">
        <w:rPr>
          <w:color w:val="000000"/>
        </w:rPr>
        <w:t>,</w:t>
      </w:r>
      <w:r>
        <w:rPr>
          <w:color w:val="000000"/>
        </w:rPr>
        <w:t xml:space="preserve"> dissenting)).</w:t>
      </w:r>
    </w:p>
    <w:p w14:paraId="54C2754E" w14:textId="30DB70B3" w:rsidR="00A77BBD" w:rsidRDefault="00A77BBD" w:rsidP="00A77BBD">
      <w:pPr>
        <w:pStyle w:val="BodyTextFirstIndent"/>
      </w:pPr>
      <w:r>
        <w:rPr>
          <w:color w:val="000000"/>
        </w:rPr>
        <w:t>For another</w:t>
      </w:r>
      <w:r w:rsidR="008B54D4">
        <w:rPr>
          <w:color w:val="000000"/>
        </w:rPr>
        <w:t>,</w:t>
      </w:r>
      <w:r>
        <w:rPr>
          <w:color w:val="000000"/>
        </w:rPr>
        <w:t xml:space="preserve"> it has held that the “traditional equitable power” of a bankruptcy court “can only be exercised within the confines of the Bankruptcy Code</w:t>
      </w:r>
      <w:r w:rsidR="00FA79C1">
        <w:rPr>
          <w:color w:val="000000"/>
        </w:rPr>
        <w:t xml:space="preserve">.”  </w:t>
      </w:r>
      <w:r>
        <w:rPr>
          <w:i/>
          <w:iCs/>
          <w:color w:val="000000"/>
        </w:rPr>
        <w:t>Norwest Bank Worthington v.</w:t>
      </w:r>
      <w:r w:rsidR="00AB5D25">
        <w:rPr>
          <w:i/>
          <w:iCs/>
          <w:color w:val="000000"/>
        </w:rPr>
        <w:t xml:space="preserve"> </w:t>
      </w:r>
      <w:r>
        <w:rPr>
          <w:i/>
          <w:iCs/>
          <w:color w:val="000000"/>
        </w:rPr>
        <w:t>Ahlers</w:t>
      </w:r>
      <w:r w:rsidR="008B54D4">
        <w:rPr>
          <w:color w:val="000000"/>
        </w:rPr>
        <w:t>,</w:t>
      </w:r>
      <w:r>
        <w:rPr>
          <w:color w:val="000000"/>
        </w:rPr>
        <w:t xml:space="preserve"> </w:t>
      </w:r>
      <w:hyperlink r:id="rId143" w:history="1">
        <w:r>
          <w:rPr>
            <w:color w:val="000000"/>
          </w:rPr>
          <w:t xml:space="preserve">485 </w:t>
        </w:r>
        <w:r w:rsidR="002F10FB">
          <w:rPr>
            <w:color w:val="000000"/>
          </w:rPr>
          <w:t xml:space="preserve">U.S. </w:t>
        </w:r>
        <w:r>
          <w:rPr>
            <w:color w:val="000000"/>
          </w:rPr>
          <w:t>197</w:t>
        </w:r>
        <w:r w:rsidR="008B54D4">
          <w:rPr>
            <w:color w:val="000000"/>
          </w:rPr>
          <w:t>,</w:t>
        </w:r>
        <w:r>
          <w:rPr>
            <w:color w:val="000000"/>
          </w:rPr>
          <w:t xml:space="preserve"> 206</w:t>
        </w:r>
      </w:hyperlink>
      <w:r>
        <w:rPr>
          <w:color w:val="000000"/>
        </w:rPr>
        <w:t xml:space="preserve"> (1988).</w:t>
      </w:r>
    </w:p>
    <w:p w14:paraId="431B0BB3" w14:textId="439B556D" w:rsidR="00A77BBD" w:rsidRDefault="00A77BBD" w:rsidP="00A77BBD">
      <w:pPr>
        <w:pStyle w:val="BodyTextFirstIndent"/>
      </w:pPr>
      <w:r>
        <w:rPr>
          <w:color w:val="000000"/>
        </w:rPr>
        <w:t>And in two recent cases</w:t>
      </w:r>
      <w:r w:rsidR="008B54D4">
        <w:rPr>
          <w:color w:val="000000"/>
        </w:rPr>
        <w:t>,</w:t>
      </w:r>
      <w:r>
        <w:rPr>
          <w:color w:val="000000"/>
        </w:rPr>
        <w:t xml:space="preserve"> the Supreme Court has held</w:t>
      </w:r>
      <w:r w:rsidR="008B54D4">
        <w:rPr>
          <w:color w:val="000000"/>
        </w:rPr>
        <w:t>,</w:t>
      </w:r>
      <w:r>
        <w:rPr>
          <w:color w:val="000000"/>
        </w:rPr>
        <w:t xml:space="preserve"> albeit in contexts different from the one at bar</w:t>
      </w:r>
      <w:r w:rsidR="008B54D4">
        <w:rPr>
          <w:color w:val="000000"/>
        </w:rPr>
        <w:t>,</w:t>
      </w:r>
      <w:r>
        <w:rPr>
          <w:color w:val="000000"/>
        </w:rPr>
        <w:t xml:space="preserve"> that a bankruptcy court lacks the power to award relief that varies or exceeds the protections contained in the Bankruptcy Code - not even in “rare” cases</w:t>
      </w:r>
      <w:r w:rsidR="008B54D4">
        <w:rPr>
          <w:color w:val="000000"/>
        </w:rPr>
        <w:t>,</w:t>
      </w:r>
      <w:r>
        <w:rPr>
          <w:color w:val="000000"/>
        </w:rPr>
        <w:t xml:space="preserve"> and not even when those orders would help facilitate a particular reorganization.</w:t>
      </w:r>
    </w:p>
    <w:p w14:paraId="38D07171" w14:textId="461290C0" w:rsidR="00A77BBD" w:rsidRDefault="00A77BBD" w:rsidP="00A77BBD">
      <w:pPr>
        <w:pStyle w:val="BodyTextFirstIndent"/>
      </w:pPr>
      <w:r>
        <w:rPr>
          <w:color w:val="000000"/>
        </w:rPr>
        <w:t>For example</w:t>
      </w:r>
      <w:r w:rsidR="008B54D4">
        <w:rPr>
          <w:color w:val="000000"/>
        </w:rPr>
        <w:t>,</w:t>
      </w:r>
      <w:r>
        <w:rPr>
          <w:color w:val="000000"/>
        </w:rPr>
        <w:t xml:space="preserve"> in </w:t>
      </w:r>
      <w:r>
        <w:rPr>
          <w:i/>
          <w:iCs/>
          <w:color w:val="000000"/>
        </w:rPr>
        <w:t>Law</w:t>
      </w:r>
      <w:r w:rsidR="00E150C1">
        <w:rPr>
          <w:i/>
          <w:iCs/>
          <w:color w:val="000000"/>
        </w:rPr>
        <w:t xml:space="preserve"> v. </w:t>
      </w:r>
      <w:r>
        <w:rPr>
          <w:i/>
          <w:iCs/>
          <w:color w:val="000000"/>
        </w:rPr>
        <w:t>Siegel</w:t>
      </w:r>
      <w:r w:rsidR="008B54D4">
        <w:rPr>
          <w:color w:val="000000"/>
        </w:rPr>
        <w:t>,</w:t>
      </w:r>
      <w:hyperlink r:id="rId144" w:history="1">
        <w:r>
          <w:rPr>
            <w:color w:val="000000"/>
          </w:rPr>
          <w:t xml:space="preserve"> 571 </w:t>
        </w:r>
        <w:r w:rsidR="002F10FB">
          <w:rPr>
            <w:color w:val="000000"/>
          </w:rPr>
          <w:t xml:space="preserve">U.S. </w:t>
        </w:r>
        <w:r>
          <w:rPr>
            <w:color w:val="000000"/>
          </w:rPr>
          <w:t xml:space="preserve">415 </w:t>
        </w:r>
      </w:hyperlink>
      <w:r>
        <w:rPr>
          <w:color w:val="000000"/>
        </w:rPr>
        <w:t>(2014)</w:t>
      </w:r>
      <w:r w:rsidR="008B54D4">
        <w:rPr>
          <w:color w:val="000000"/>
        </w:rPr>
        <w:t>,</w:t>
      </w:r>
      <w:r>
        <w:rPr>
          <w:color w:val="000000"/>
        </w:rPr>
        <w:t xml:space="preserve"> the Supreme Court unanimously held the bankruptcy court does not have “a general</w:t>
      </w:r>
      <w:r w:rsidR="008B54D4">
        <w:rPr>
          <w:color w:val="000000"/>
        </w:rPr>
        <w:t>,</w:t>
      </w:r>
      <w:r>
        <w:rPr>
          <w:color w:val="000000"/>
        </w:rPr>
        <w:t xml:space="preserve"> equitable power” to order that a debtor</w:t>
      </w:r>
      <w:r w:rsidR="008B54D4">
        <w:rPr>
          <w:color w:val="000000"/>
        </w:rPr>
        <w:t>’</w:t>
      </w:r>
      <w:r>
        <w:rPr>
          <w:color w:val="000000"/>
        </w:rPr>
        <w:t>s statutorily exempt assets be made available to cover attorney</w:t>
      </w:r>
      <w:r w:rsidR="008B54D4">
        <w:rPr>
          <w:color w:val="000000"/>
        </w:rPr>
        <w:t>’</w:t>
      </w:r>
      <w:r>
        <w:rPr>
          <w:color w:val="000000"/>
        </w:rPr>
        <w:t>s fees incurred by an estate</w:t>
      </w:r>
      <w:r w:rsidR="008B54D4">
        <w:rPr>
          <w:color w:val="000000"/>
        </w:rPr>
        <w:t>’</w:t>
      </w:r>
      <w:r>
        <w:rPr>
          <w:color w:val="000000"/>
        </w:rPr>
        <w:t>s trustee in the course of the chapter 7 bankruptcy case</w:t>
      </w:r>
      <w:r w:rsidR="006A227C">
        <w:rPr>
          <w:color w:val="000000"/>
        </w:rPr>
        <w:t xml:space="preserve">.  </w:t>
      </w:r>
      <w:r>
        <w:rPr>
          <w:color w:val="000000"/>
        </w:rPr>
        <w:t>Section 522 of the Bankruptcy Code</w:t>
      </w:r>
      <w:r w:rsidR="008B54D4">
        <w:rPr>
          <w:color w:val="000000"/>
        </w:rPr>
        <w:t>,</w:t>
      </w:r>
      <w:r>
        <w:rPr>
          <w:color w:val="000000"/>
        </w:rPr>
        <w:t xml:space="preserve"> by reference to applicable state law</w:t>
      </w:r>
      <w:r w:rsidR="008B54D4">
        <w:rPr>
          <w:color w:val="000000"/>
        </w:rPr>
        <w:t>,</w:t>
      </w:r>
      <w:r>
        <w:rPr>
          <w:color w:val="000000"/>
        </w:rPr>
        <w:t xml:space="preserve"> entitled the debtor in that case to exempt equity in his home from the bankruptcy estate</w:t>
      </w:r>
      <w:r w:rsidR="006A227C">
        <w:rPr>
          <w:color w:val="000000"/>
        </w:rPr>
        <w:t xml:space="preserve">.  </w:t>
      </w:r>
      <w:r>
        <w:rPr>
          <w:i/>
          <w:iCs/>
          <w:color w:val="000000"/>
        </w:rPr>
        <w:t>See</w:t>
      </w:r>
      <w:hyperlink r:id="rId145" w:history="1">
        <w:r>
          <w:rPr>
            <w:color w:val="000000"/>
          </w:rPr>
          <w:t xml:space="preserve"> 11 </w:t>
        </w:r>
        <w:r w:rsidR="00522B24">
          <w:rPr>
            <w:color w:val="000000"/>
          </w:rPr>
          <w:t xml:space="preserve">U.S.C. </w:t>
        </w:r>
        <w:r>
          <w:rPr>
            <w:color w:val="000000"/>
          </w:rPr>
          <w:t>§ 522(b)(3)(A)</w:t>
        </w:r>
      </w:hyperlink>
      <w:r w:rsidR="006A227C">
        <w:rPr>
          <w:color w:val="000000"/>
        </w:rPr>
        <w:t xml:space="preserve">.  </w:t>
      </w:r>
      <w:r>
        <w:rPr>
          <w:color w:val="000000"/>
        </w:rPr>
        <w:t>A dispute arose between the debtor and the trustee of the estate</w:t>
      </w:r>
      <w:r w:rsidR="008B54D4">
        <w:rPr>
          <w:color w:val="000000"/>
        </w:rPr>
        <w:t>,</w:t>
      </w:r>
      <w:r>
        <w:rPr>
          <w:color w:val="000000"/>
        </w:rPr>
        <w:t xml:space="preserve"> causing the trustee to incur substantial legal fees</w:t>
      </w:r>
      <w:r w:rsidR="008B54D4">
        <w:rPr>
          <w:color w:val="000000"/>
        </w:rPr>
        <w:t>,</w:t>
      </w:r>
      <w:r>
        <w:rPr>
          <w:color w:val="000000"/>
        </w:rPr>
        <w:t xml:space="preserve"> purportedly as a result of the debtor</w:t>
      </w:r>
      <w:r w:rsidR="008B54D4">
        <w:rPr>
          <w:color w:val="000000"/>
        </w:rPr>
        <w:t>’</w:t>
      </w:r>
      <w:r>
        <w:rPr>
          <w:color w:val="000000"/>
        </w:rPr>
        <w:t>s “abusive litigation practices</w:t>
      </w:r>
      <w:r w:rsidR="00FA79C1">
        <w:rPr>
          <w:color w:val="000000"/>
        </w:rPr>
        <w:t xml:space="preserve">.”  </w:t>
      </w:r>
      <w:r>
        <w:rPr>
          <w:i/>
          <w:iCs/>
          <w:color w:val="000000"/>
        </w:rPr>
        <w:t>Law</w:t>
      </w:r>
      <w:r w:rsidR="00E150C1">
        <w:rPr>
          <w:i/>
          <w:iCs/>
          <w:color w:val="000000"/>
        </w:rPr>
        <w:t xml:space="preserve"> v. </w:t>
      </w:r>
      <w:r>
        <w:rPr>
          <w:i/>
          <w:iCs/>
          <w:color w:val="000000"/>
        </w:rPr>
        <w:t>Siegel</w:t>
      </w:r>
      <w:r w:rsidR="008B54D4">
        <w:rPr>
          <w:color w:val="000000"/>
        </w:rPr>
        <w:t>,</w:t>
      </w:r>
      <w:hyperlink r:id="rId146" w:history="1">
        <w:r>
          <w:rPr>
            <w:color w:val="000000"/>
          </w:rPr>
          <w:t xml:space="preserve"> 571 </w:t>
        </w:r>
        <w:r w:rsidR="002F10FB">
          <w:rPr>
            <w:color w:val="000000"/>
          </w:rPr>
          <w:t xml:space="preserve">U.S. </w:t>
        </w:r>
        <w:r>
          <w:rPr>
            <w:color w:val="000000"/>
          </w:rPr>
          <w:t>at 415-16</w:t>
        </w:r>
      </w:hyperlink>
      <w:r w:rsidR="006A227C">
        <w:rPr>
          <w:color w:val="000000"/>
        </w:rPr>
        <w:t xml:space="preserve">.  </w:t>
      </w:r>
      <w:r>
        <w:rPr>
          <w:color w:val="000000"/>
        </w:rPr>
        <w:t>Seeking to recoup the cost of resolving the dispute with the debtor</w:t>
      </w:r>
      <w:r w:rsidR="008B54D4">
        <w:rPr>
          <w:color w:val="000000"/>
        </w:rPr>
        <w:t>,</w:t>
      </w:r>
      <w:r>
        <w:rPr>
          <w:color w:val="000000"/>
        </w:rPr>
        <w:t xml:space="preserve"> the trustee asked the bankruptcy court to order that the otherwise exempt assets be made available to cover his attorney</w:t>
      </w:r>
      <w:r w:rsidR="008B54D4">
        <w:rPr>
          <w:color w:val="000000"/>
        </w:rPr>
        <w:t>’</w:t>
      </w:r>
      <w:r>
        <w:rPr>
          <w:color w:val="000000"/>
        </w:rPr>
        <w:t>s fees</w:t>
      </w:r>
      <w:r w:rsidR="006A227C">
        <w:rPr>
          <w:color w:val="000000"/>
        </w:rPr>
        <w:t xml:space="preserve">.  </w:t>
      </w:r>
      <w:r>
        <w:rPr>
          <w:color w:val="000000"/>
        </w:rPr>
        <w:t>He argued that such an order was authorized by the “inherent power” of the Bankruptcy Court and by Section</w:t>
      </w:r>
      <w:r w:rsidR="00AB5D25">
        <w:rPr>
          <w:color w:val="000000"/>
        </w:rPr>
        <w:t xml:space="preserve"> </w:t>
      </w:r>
      <w:r>
        <w:rPr>
          <w:color w:val="000000"/>
        </w:rPr>
        <w:t>105(a) of the Bankruptcy Code</w:t>
      </w:r>
      <w:r w:rsidR="008B54D4">
        <w:rPr>
          <w:color w:val="000000"/>
        </w:rPr>
        <w:t>,</w:t>
      </w:r>
      <w:r>
        <w:rPr>
          <w:color w:val="000000"/>
        </w:rPr>
        <w:t xml:space="preserve"> which provides:</w:t>
      </w:r>
    </w:p>
    <w:p w14:paraId="2F9CCCE6" w14:textId="3901E511" w:rsidR="00A77BBD" w:rsidRDefault="00A77BBD" w:rsidP="00AB5D25">
      <w:pPr>
        <w:pStyle w:val="BlockText"/>
      </w:pPr>
      <w:r>
        <w:t>The court may issue any order</w:t>
      </w:r>
      <w:r w:rsidR="008B54D4">
        <w:t>,</w:t>
      </w:r>
      <w:r>
        <w:t xml:space="preserve"> process</w:t>
      </w:r>
      <w:r w:rsidR="008B54D4">
        <w:t>,</w:t>
      </w:r>
      <w:r>
        <w:t xml:space="preserve"> or judgment that is necessary or appropriate to carry out the provisions of this title</w:t>
      </w:r>
      <w:r w:rsidR="006A227C">
        <w:t xml:space="preserve">.  </w:t>
      </w:r>
      <w:r>
        <w:t>No provision of this title providing for the raising of an issue by a party in interest shall be construed to preclude the court from</w:t>
      </w:r>
      <w:r w:rsidR="008B54D4">
        <w:t>,</w:t>
      </w:r>
      <w:r>
        <w:t xml:space="preserve"> sua sponte</w:t>
      </w:r>
      <w:r w:rsidR="008B54D4">
        <w:t>,</w:t>
      </w:r>
      <w:r>
        <w:t xml:space="preserve"> taking any action or making any determination necessary or appropriate to enforce or implement court orders or rules</w:t>
      </w:r>
      <w:r w:rsidR="008B54D4">
        <w:t>,</w:t>
      </w:r>
      <w:r>
        <w:t xml:space="preserve"> or to prevent an abuse of process.</w:t>
      </w:r>
    </w:p>
    <w:p w14:paraId="2D6D6D05" w14:textId="0B1E82C9" w:rsidR="00A77BBD" w:rsidRDefault="004210CE" w:rsidP="00AB5D25">
      <w:pPr>
        <w:pStyle w:val="BodyTextFirstIndent"/>
        <w:ind w:firstLine="0"/>
      </w:pPr>
      <w:hyperlink r:id="rId147" w:history="1">
        <w:r w:rsidR="00A77BBD">
          <w:rPr>
            <w:color w:val="000000"/>
          </w:rPr>
          <w:t xml:space="preserve">11 </w:t>
        </w:r>
        <w:r w:rsidR="00522B24">
          <w:rPr>
            <w:color w:val="000000"/>
          </w:rPr>
          <w:t xml:space="preserve">U.S.C. </w:t>
        </w:r>
        <w:r w:rsidR="00A77BBD">
          <w:rPr>
            <w:color w:val="000000"/>
          </w:rPr>
          <w:t>§ 105(a)</w:t>
        </w:r>
      </w:hyperlink>
      <w:r w:rsidR="00A77BBD">
        <w:rPr>
          <w:color w:val="000000"/>
        </w:rPr>
        <w:t>.</w:t>
      </w:r>
    </w:p>
    <w:p w14:paraId="40E0D0F2" w14:textId="0E8B72B3" w:rsidR="00A77BBD" w:rsidRDefault="00A77BBD" w:rsidP="00A77BBD">
      <w:pPr>
        <w:pStyle w:val="BodyTextFirstIndent"/>
      </w:pPr>
      <w:r>
        <w:rPr>
          <w:color w:val="000000"/>
        </w:rPr>
        <w:t>The High Court disagreed</w:t>
      </w:r>
      <w:r w:rsidR="008B54D4">
        <w:rPr>
          <w:color w:val="000000"/>
        </w:rPr>
        <w:t>,</w:t>
      </w:r>
      <w:r>
        <w:rPr>
          <w:color w:val="000000"/>
        </w:rPr>
        <w:t xml:space="preserve"> stating flatly</w:t>
      </w:r>
      <w:r w:rsidR="008B54D4">
        <w:rPr>
          <w:color w:val="000000"/>
        </w:rPr>
        <w:t>,</w:t>
      </w:r>
      <w:r>
        <w:rPr>
          <w:color w:val="000000"/>
        </w:rPr>
        <w:t xml:space="preserve"> “A bankruptcy court may not exercise its authority to </w:t>
      </w:r>
      <w:r w:rsidR="008B54D4">
        <w:rPr>
          <w:color w:val="000000"/>
        </w:rPr>
        <w:t>‘</w:t>
      </w:r>
      <w:r>
        <w:rPr>
          <w:color w:val="000000"/>
        </w:rPr>
        <w:t>carry out</w:t>
      </w:r>
      <w:r w:rsidR="008B54D4">
        <w:rPr>
          <w:color w:val="000000"/>
        </w:rPr>
        <w:t>’</w:t>
      </w:r>
      <w:r>
        <w:rPr>
          <w:color w:val="000000"/>
        </w:rPr>
        <w:t xml:space="preserve"> the provisions of the Code” by taking an action inconsistent with its other provisions.</w:t>
      </w:r>
      <w:r w:rsidR="00AB5D25">
        <w:rPr>
          <w:color w:val="000000"/>
        </w:rPr>
        <w:t xml:space="preserve">  </w:t>
      </w:r>
      <w:r>
        <w:rPr>
          <w:i/>
          <w:iCs/>
          <w:color w:val="000000"/>
        </w:rPr>
        <w:t>Law</w:t>
      </w:r>
      <w:r w:rsidR="00E150C1">
        <w:rPr>
          <w:i/>
          <w:iCs/>
          <w:color w:val="000000"/>
        </w:rPr>
        <w:t xml:space="preserve"> v. </w:t>
      </w:r>
      <w:r>
        <w:rPr>
          <w:i/>
          <w:iCs/>
          <w:color w:val="000000"/>
        </w:rPr>
        <w:t>Siegel</w:t>
      </w:r>
      <w:r w:rsidR="008B54D4">
        <w:rPr>
          <w:color w:val="000000"/>
        </w:rPr>
        <w:t>,</w:t>
      </w:r>
      <w:hyperlink r:id="rId148" w:history="1">
        <w:r>
          <w:rPr>
            <w:color w:val="000000"/>
          </w:rPr>
          <w:t xml:space="preserve"> 571 </w:t>
        </w:r>
        <w:r w:rsidR="002F10FB">
          <w:rPr>
            <w:color w:val="000000"/>
          </w:rPr>
          <w:t xml:space="preserve">U.S. </w:t>
        </w:r>
        <w:r>
          <w:rPr>
            <w:color w:val="000000"/>
          </w:rPr>
          <w:t>at 425</w:t>
        </w:r>
      </w:hyperlink>
      <w:r w:rsidR="006A227C">
        <w:rPr>
          <w:color w:val="000000"/>
        </w:rPr>
        <w:t xml:space="preserve">.  </w:t>
      </w:r>
      <w:r>
        <w:rPr>
          <w:color w:val="000000"/>
        </w:rPr>
        <w:t>It announced that there is “no authority for bankruptcy courts to</w:t>
      </w:r>
      <w:r w:rsidR="00AB5D25">
        <w:rPr>
          <w:color w:val="000000"/>
        </w:rPr>
        <w:t xml:space="preserve"> </w:t>
      </w:r>
      <w:r>
        <w:rPr>
          <w:color w:val="000000"/>
        </w:rPr>
        <w:t>deny an exemption on a ground not specified in the Code</w:t>
      </w:r>
      <w:r w:rsidR="008B54D4">
        <w:rPr>
          <w:color w:val="000000"/>
        </w:rPr>
        <w:t>,</w:t>
      </w:r>
      <w:r>
        <w:rPr>
          <w:color w:val="000000"/>
        </w:rPr>
        <w:t xml:space="preserve">” because the Bankruptcy Code was intended to be a </w:t>
      </w:r>
      <w:r>
        <w:rPr>
          <w:i/>
          <w:iCs/>
          <w:color w:val="000000"/>
        </w:rPr>
        <w:t>comprehensive</w:t>
      </w:r>
      <w:r>
        <w:rPr>
          <w:color w:val="000000"/>
        </w:rPr>
        <w:t xml:space="preserve"> statement of the rights and procedures applicable in bankruptcy</w:t>
      </w:r>
      <w:r w:rsidR="006A227C">
        <w:rPr>
          <w:color w:val="000000"/>
        </w:rPr>
        <w:t xml:space="preserve">.  </w:t>
      </w:r>
      <w:r w:rsidR="00FD7892">
        <w:rPr>
          <w:i/>
          <w:iCs/>
          <w:color w:val="000000"/>
        </w:rPr>
        <w:t xml:space="preserve">Id. </w:t>
      </w:r>
      <w:r>
        <w:rPr>
          <w:color w:val="000000"/>
        </w:rPr>
        <w:t>at 416</w:t>
      </w:r>
      <w:r w:rsidR="006A227C">
        <w:rPr>
          <w:color w:val="000000"/>
        </w:rPr>
        <w:t xml:space="preserve">.  </w:t>
      </w:r>
      <w:r>
        <w:rPr>
          <w:color w:val="000000"/>
        </w:rPr>
        <w:t>The Code explicitly exempts certain debtor assets from the bankruptcy estate and provides a finite number of exceptions and limitations to those asset exemptions</w:t>
      </w:r>
      <w:r w:rsidR="006A227C">
        <w:rPr>
          <w:color w:val="000000"/>
        </w:rPr>
        <w:t xml:space="preserve">.  </w:t>
      </w:r>
      <w:r>
        <w:rPr>
          <w:i/>
          <w:iCs/>
          <w:color w:val="000000"/>
        </w:rPr>
        <w:t>See</w:t>
      </w:r>
      <w:hyperlink r:id="rId149" w:history="1">
        <w:r>
          <w:rPr>
            <w:color w:val="000000"/>
          </w:rPr>
          <w:t xml:space="preserve"> 11 </w:t>
        </w:r>
        <w:r w:rsidR="00522B24">
          <w:rPr>
            <w:color w:val="000000"/>
          </w:rPr>
          <w:t xml:space="preserve">U.S.C. </w:t>
        </w:r>
        <w:r>
          <w:rPr>
            <w:color w:val="000000"/>
          </w:rPr>
          <w:t>§</w:t>
        </w:r>
      </w:hyperlink>
      <w:r w:rsidR="00AB5D25">
        <w:rPr>
          <w:color w:val="000000"/>
        </w:rPr>
        <w:t xml:space="preserve"> </w:t>
      </w:r>
      <w:hyperlink r:id="rId150" w:history="1">
        <w:r>
          <w:rPr>
            <w:color w:val="000000"/>
          </w:rPr>
          <w:t>522</w:t>
        </w:r>
      </w:hyperlink>
      <w:r w:rsidR="006A227C">
        <w:rPr>
          <w:color w:val="000000"/>
        </w:rPr>
        <w:t xml:space="preserve">.  </w:t>
      </w:r>
      <w:r>
        <w:rPr>
          <w:color w:val="000000"/>
        </w:rPr>
        <w:t>To the Supreme Court</w:t>
      </w:r>
      <w:r w:rsidR="008B54D4">
        <w:rPr>
          <w:color w:val="000000"/>
        </w:rPr>
        <w:t>,</w:t>
      </w:r>
      <w:r>
        <w:rPr>
          <w:color w:val="000000"/>
        </w:rPr>
        <w:t xml:space="preserve"> “comprehensive” means precisely that:  “The Code</w:t>
      </w:r>
      <w:r w:rsidR="008B54D4">
        <w:rPr>
          <w:color w:val="000000"/>
        </w:rPr>
        <w:t>’</w:t>
      </w:r>
      <w:r>
        <w:rPr>
          <w:color w:val="000000"/>
        </w:rPr>
        <w:t xml:space="preserve">s meticulous </w:t>
      </w:r>
      <w:r w:rsidR="00AB5D25">
        <w:rPr>
          <w:color w:val="000000"/>
        </w:rPr>
        <w:t>–</w:t>
      </w:r>
      <w:r>
        <w:rPr>
          <w:color w:val="000000"/>
        </w:rPr>
        <w:t xml:space="preserve"> not</w:t>
      </w:r>
      <w:r w:rsidR="00AB5D25">
        <w:rPr>
          <w:color w:val="000000"/>
        </w:rPr>
        <w:t xml:space="preserve"> </w:t>
      </w:r>
      <w:r>
        <w:rPr>
          <w:color w:val="000000"/>
        </w:rPr>
        <w:t>to say mind-numbingly detailed - enumeration of exemptions and exceptions to those exemptions</w:t>
      </w:r>
      <w:r w:rsidR="00AB5D25">
        <w:rPr>
          <w:color w:val="000000"/>
        </w:rPr>
        <w:t xml:space="preserve"> </w:t>
      </w:r>
      <w:r>
        <w:rPr>
          <w:color w:val="000000"/>
        </w:rPr>
        <w:t>confirms that courts are not authorized to create additional exceptions</w:t>
      </w:r>
      <w:r w:rsidR="00FA79C1">
        <w:rPr>
          <w:color w:val="000000"/>
        </w:rPr>
        <w:t xml:space="preserve">.”  </w:t>
      </w:r>
      <w:r>
        <w:rPr>
          <w:i/>
          <w:iCs/>
          <w:color w:val="000000"/>
        </w:rPr>
        <w:t>Law</w:t>
      </w:r>
      <w:r w:rsidR="00E150C1">
        <w:rPr>
          <w:i/>
          <w:iCs/>
          <w:color w:val="000000"/>
        </w:rPr>
        <w:t xml:space="preserve"> v. </w:t>
      </w:r>
      <w:r>
        <w:rPr>
          <w:i/>
          <w:iCs/>
          <w:color w:val="000000"/>
        </w:rPr>
        <w:t>Siegel</w:t>
      </w:r>
      <w:r w:rsidR="008B54D4">
        <w:rPr>
          <w:color w:val="000000"/>
        </w:rPr>
        <w:t>,</w:t>
      </w:r>
      <w:hyperlink r:id="rId151" w:history="1">
        <w:r>
          <w:rPr>
            <w:color w:val="000000"/>
          </w:rPr>
          <w:t xml:space="preserve"> 571 </w:t>
        </w:r>
        <w:r w:rsidR="002F10FB">
          <w:rPr>
            <w:color w:val="000000"/>
          </w:rPr>
          <w:t xml:space="preserve">U.S. </w:t>
        </w:r>
        <w:r>
          <w:rPr>
            <w:color w:val="000000"/>
          </w:rPr>
          <w:t>at</w:t>
        </w:r>
      </w:hyperlink>
      <w:r w:rsidR="00AB5D25">
        <w:rPr>
          <w:color w:val="000000"/>
        </w:rPr>
        <w:t xml:space="preserve"> </w:t>
      </w:r>
      <w:hyperlink r:id="rId152" w:history="1">
        <w:r>
          <w:rPr>
            <w:color w:val="000000"/>
          </w:rPr>
          <w:t>424</w:t>
        </w:r>
      </w:hyperlink>
      <w:r>
        <w:rPr>
          <w:color w:val="000000"/>
        </w:rPr>
        <w:t>.</w:t>
      </w:r>
    </w:p>
    <w:p w14:paraId="0BBCB5D9" w14:textId="0C756E14" w:rsidR="00A77BBD" w:rsidRDefault="00A77BBD" w:rsidP="00A77BBD">
      <w:pPr>
        <w:pStyle w:val="BodyTextFirstIndent"/>
      </w:pPr>
      <w:r>
        <w:rPr>
          <w:color w:val="000000"/>
        </w:rPr>
        <w:t>More recently</w:t>
      </w:r>
      <w:r w:rsidR="008B54D4">
        <w:rPr>
          <w:color w:val="000000"/>
        </w:rPr>
        <w:t>,</w:t>
      </w:r>
      <w:r>
        <w:rPr>
          <w:color w:val="000000"/>
        </w:rPr>
        <w:t xml:space="preserve"> in </w:t>
      </w:r>
      <w:r>
        <w:rPr>
          <w:i/>
          <w:iCs/>
          <w:color w:val="000000"/>
        </w:rPr>
        <w:t>Czyzewski</w:t>
      </w:r>
      <w:r w:rsidR="00E150C1">
        <w:rPr>
          <w:i/>
          <w:iCs/>
          <w:color w:val="000000"/>
        </w:rPr>
        <w:t xml:space="preserve"> v. </w:t>
      </w:r>
      <w:r>
        <w:rPr>
          <w:i/>
          <w:iCs/>
          <w:color w:val="000000"/>
        </w:rPr>
        <w:t>Jevic Holdings Corp.</w:t>
      </w:r>
      <w:r w:rsidR="008B54D4">
        <w:rPr>
          <w:color w:val="000000"/>
        </w:rPr>
        <w:t>,</w:t>
      </w:r>
      <w:hyperlink r:id="rId153" w:history="1">
        <w:r>
          <w:rPr>
            <w:color w:val="000000"/>
          </w:rPr>
          <w:t xml:space="preserve"> 137 </w:t>
        </w:r>
        <w:r w:rsidR="009108C3">
          <w:rPr>
            <w:color w:val="000000"/>
          </w:rPr>
          <w:t xml:space="preserve">S. Ct. </w:t>
        </w:r>
        <w:r>
          <w:rPr>
            <w:color w:val="000000"/>
          </w:rPr>
          <w:t xml:space="preserve">973 </w:t>
        </w:r>
      </w:hyperlink>
      <w:r>
        <w:rPr>
          <w:color w:val="000000"/>
        </w:rPr>
        <w:t>(2017)</w:t>
      </w:r>
      <w:r w:rsidR="008B54D4">
        <w:rPr>
          <w:color w:val="000000"/>
        </w:rPr>
        <w:t>,</w:t>
      </w:r>
      <w:r>
        <w:rPr>
          <w:color w:val="000000"/>
        </w:rPr>
        <w:t xml:space="preserve"> the Court held that the protections explicitly afforded by the Bankruptcy Code could not be overridden in a “rare” case</w:t>
      </w:r>
      <w:r w:rsidR="008B54D4">
        <w:rPr>
          <w:color w:val="000000"/>
        </w:rPr>
        <w:t>,</w:t>
      </w:r>
      <w:r>
        <w:rPr>
          <w:color w:val="000000"/>
        </w:rPr>
        <w:t xml:space="preserve"> even if doing so would carry out certain bankruptcy objectives</w:t>
      </w:r>
      <w:r w:rsidR="006A227C">
        <w:rPr>
          <w:color w:val="000000"/>
        </w:rPr>
        <w:t xml:space="preserve">.  </w:t>
      </w:r>
      <w:r>
        <w:rPr>
          <w:color w:val="000000"/>
        </w:rPr>
        <w:t>In chapter 11 bankruptcies</w:t>
      </w:r>
      <w:r w:rsidR="008B54D4">
        <w:rPr>
          <w:color w:val="000000"/>
        </w:rPr>
        <w:t>,</w:t>
      </w:r>
      <w:r>
        <w:rPr>
          <w:color w:val="000000"/>
        </w:rPr>
        <w:t xml:space="preserve"> a plan that does not follow normal priority rules</w:t>
      </w:r>
      <w:r w:rsidR="005227D9">
        <w:rPr>
          <w:color w:val="000000"/>
        </w:rPr>
        <w:t xml:space="preserve"> in connection with f</w:t>
      </w:r>
      <w:r w:rsidR="001D0B25">
        <w:rPr>
          <w:color w:val="000000"/>
        </w:rPr>
        <w:t>in</w:t>
      </w:r>
      <w:r w:rsidR="005227D9">
        <w:rPr>
          <w:color w:val="000000"/>
        </w:rPr>
        <w:t xml:space="preserve">al </w:t>
      </w:r>
      <w:r w:rsidR="001D0B25">
        <w:rPr>
          <w:color w:val="000000"/>
        </w:rPr>
        <w:t xml:space="preserve">plan/case </w:t>
      </w:r>
      <w:r w:rsidR="005227D9">
        <w:rPr>
          <w:color w:val="000000"/>
        </w:rPr>
        <w:t>distributions</w:t>
      </w:r>
      <w:r>
        <w:rPr>
          <w:color w:val="000000"/>
        </w:rPr>
        <w:t xml:space="preserve"> cannot be confirmed over the objection of an impaired class of creditors</w:t>
      </w:r>
      <w:r w:rsidR="006A227C">
        <w:rPr>
          <w:color w:val="000000"/>
        </w:rPr>
        <w:t xml:space="preserve">.  </w:t>
      </w:r>
      <w:r>
        <w:rPr>
          <w:color w:val="000000"/>
        </w:rPr>
        <w:t>11 U.S.C § 1129(b)</w:t>
      </w:r>
      <w:r w:rsidR="006A227C">
        <w:rPr>
          <w:color w:val="000000"/>
        </w:rPr>
        <w:t xml:space="preserve">.  </w:t>
      </w:r>
      <w:r>
        <w:rPr>
          <w:color w:val="000000"/>
        </w:rPr>
        <w:t>Notwithstanding that</w:t>
      </w:r>
      <w:r w:rsidR="008B54D4">
        <w:rPr>
          <w:color w:val="000000"/>
        </w:rPr>
        <w:t>,</w:t>
      </w:r>
      <w:r>
        <w:rPr>
          <w:color w:val="000000"/>
        </w:rPr>
        <w:t xml:space="preserve"> the bankruptcy court in </w:t>
      </w:r>
      <w:r>
        <w:rPr>
          <w:i/>
          <w:iCs/>
          <w:color w:val="000000"/>
        </w:rPr>
        <w:t>Jevic</w:t>
      </w:r>
      <w:r>
        <w:rPr>
          <w:color w:val="000000"/>
        </w:rPr>
        <w:t xml:space="preserve"> approved the structured dismissal</w:t>
      </w:r>
      <w:r>
        <w:rPr>
          <w:rStyle w:val="FootnoteReference"/>
          <w:rFonts w:eastAsia="Times New Roman" w:cs="Times New Roman"/>
          <w:color w:val="000000"/>
          <w:vertAlign w:val="superscript"/>
        </w:rPr>
        <w:footnoteReference w:id="33"/>
      </w:r>
      <w:r>
        <w:rPr>
          <w:color w:val="000000"/>
        </w:rPr>
        <w:t xml:space="preserve"> of a chapter 11 case in which unsecured creditors were prioritized over non-consenting judgment creditors - a violation of ordinary priority rules</w:t>
      </w:r>
      <w:r w:rsidR="006A227C">
        <w:rPr>
          <w:color w:val="000000"/>
        </w:rPr>
        <w:t xml:space="preserve">.  </w:t>
      </w:r>
      <w:r>
        <w:rPr>
          <w:color w:val="000000"/>
        </w:rPr>
        <w:t>The bankruptcy court and the proponents of the structured dismissal argued that the Bankruptcy Code did not specifically state whether normal priority rules had to be followed in chapter 11 (as opposed to chapter 7) cases - that is</w:t>
      </w:r>
      <w:r w:rsidR="008B54D4">
        <w:rPr>
          <w:color w:val="000000"/>
        </w:rPr>
        <w:t>,</w:t>
      </w:r>
      <w:r>
        <w:rPr>
          <w:color w:val="000000"/>
        </w:rPr>
        <w:t xml:space="preserve"> the statute was “silent” on the subject - so the court could exercise such authority in “rare” cases in which there were “sufficient reasons” to disregard priority</w:t>
      </w:r>
      <w:r w:rsidR="006A227C">
        <w:rPr>
          <w:color w:val="000000"/>
        </w:rPr>
        <w:t xml:space="preserve">.  </w:t>
      </w:r>
      <w:r>
        <w:rPr>
          <w:color w:val="000000"/>
        </w:rPr>
        <w:t>But the Supreme Court disagreed that any such power existed</w:t>
      </w:r>
      <w:r w:rsidR="006A227C">
        <w:rPr>
          <w:color w:val="000000"/>
        </w:rPr>
        <w:t xml:space="preserve">.  </w:t>
      </w:r>
      <w:r>
        <w:rPr>
          <w:color w:val="000000"/>
        </w:rPr>
        <w:t>It observed that the priority system applicable to those distributions had long been considered fundamental to the Bankruptcy Code</w:t>
      </w:r>
      <w:r w:rsidR="008B54D4">
        <w:rPr>
          <w:color w:val="000000"/>
        </w:rPr>
        <w:t>’</w:t>
      </w:r>
      <w:r>
        <w:rPr>
          <w:color w:val="000000"/>
        </w:rPr>
        <w:t>s purposes and held that the “importance of the priority system leads us to expect more than simply statutory silence if</w:t>
      </w:r>
      <w:r w:rsidR="008B54D4">
        <w:rPr>
          <w:color w:val="000000"/>
        </w:rPr>
        <w:t>,</w:t>
      </w:r>
      <w:r>
        <w:rPr>
          <w:color w:val="000000"/>
        </w:rPr>
        <w:t xml:space="preserve"> and when</w:t>
      </w:r>
      <w:r w:rsidR="008B54D4">
        <w:rPr>
          <w:color w:val="000000"/>
        </w:rPr>
        <w:t>,</w:t>
      </w:r>
      <w:r>
        <w:rPr>
          <w:color w:val="000000"/>
        </w:rPr>
        <w:t xml:space="preserve"> Congress were to intend a major departure</w:t>
      </w:r>
      <w:r w:rsidR="00FA79C1">
        <w:rPr>
          <w:color w:val="000000"/>
        </w:rPr>
        <w:t xml:space="preserve">.”  </w:t>
      </w:r>
      <w:r>
        <w:rPr>
          <w:i/>
          <w:iCs/>
          <w:color w:val="000000"/>
        </w:rPr>
        <w:t>Jevic Holding Corp</w:t>
      </w:r>
      <w:r>
        <w:rPr>
          <w:color w:val="000000"/>
        </w:rPr>
        <w:t>.</w:t>
      </w:r>
      <w:r w:rsidR="008B54D4">
        <w:rPr>
          <w:color w:val="000000"/>
        </w:rPr>
        <w:t>,</w:t>
      </w:r>
      <w:r>
        <w:rPr>
          <w:color w:val="000000"/>
        </w:rPr>
        <w:t xml:space="preserve"> </w:t>
      </w:r>
      <w:hyperlink r:id="rId154" w:history="1">
        <w:r>
          <w:rPr>
            <w:color w:val="000000"/>
          </w:rPr>
          <w:t xml:space="preserve">137 </w:t>
        </w:r>
        <w:r w:rsidR="009108C3">
          <w:rPr>
            <w:color w:val="000000"/>
          </w:rPr>
          <w:t xml:space="preserve">S. Ct. </w:t>
        </w:r>
        <w:r>
          <w:rPr>
            <w:color w:val="000000"/>
          </w:rPr>
          <w:t>at 984</w:t>
        </w:r>
      </w:hyperlink>
      <w:r w:rsidR="006A227C">
        <w:rPr>
          <w:color w:val="000000"/>
        </w:rPr>
        <w:t xml:space="preserve">.  </w:t>
      </w:r>
      <w:r>
        <w:rPr>
          <w:color w:val="000000"/>
        </w:rPr>
        <w:t>To the argument that a bankruptcy court could disregard priority if there were “sufficient reasons” to do so</w:t>
      </w:r>
      <w:r w:rsidR="008B54D4">
        <w:rPr>
          <w:color w:val="000000"/>
        </w:rPr>
        <w:t>,</w:t>
      </w:r>
      <w:r>
        <w:rPr>
          <w:color w:val="000000"/>
        </w:rPr>
        <w:t xml:space="preserve"> Justice Breyer aptly noted:  “It is difficult to give precise content to the concept </w:t>
      </w:r>
      <w:r w:rsidR="008B54D4">
        <w:rPr>
          <w:color w:val="000000"/>
        </w:rPr>
        <w:t>‘</w:t>
      </w:r>
      <w:r>
        <w:rPr>
          <w:color w:val="000000"/>
        </w:rPr>
        <w:t>sufficient reasons.</w:t>
      </w:r>
      <w:r w:rsidR="008B54D4">
        <w:rPr>
          <w:color w:val="000000"/>
        </w:rPr>
        <w:t>’</w:t>
      </w:r>
      <w:r>
        <w:rPr>
          <w:color w:val="000000"/>
        </w:rPr>
        <w:t xml:space="preserve"> </w:t>
      </w:r>
      <w:r w:rsidR="00AB5D25">
        <w:rPr>
          <w:color w:val="000000"/>
        </w:rPr>
        <w:t xml:space="preserve"> </w:t>
      </w:r>
      <w:r>
        <w:rPr>
          <w:color w:val="000000"/>
        </w:rPr>
        <w:t xml:space="preserve">That fact threatens to turn a </w:t>
      </w:r>
      <w:r w:rsidR="008B54D4">
        <w:rPr>
          <w:color w:val="000000"/>
        </w:rPr>
        <w:t>‘</w:t>
      </w:r>
      <w:r>
        <w:rPr>
          <w:color w:val="000000"/>
        </w:rPr>
        <w:t>rare case</w:t>
      </w:r>
      <w:r w:rsidR="008B54D4">
        <w:rPr>
          <w:color w:val="000000"/>
        </w:rPr>
        <w:t>’</w:t>
      </w:r>
      <w:r>
        <w:rPr>
          <w:color w:val="000000"/>
        </w:rPr>
        <w:t xml:space="preserve"> exception into a more general rule</w:t>
      </w:r>
      <w:r w:rsidR="00FA79C1">
        <w:rPr>
          <w:color w:val="000000"/>
        </w:rPr>
        <w:t xml:space="preserve">.”  </w:t>
      </w:r>
      <w:r w:rsidR="00FD7892">
        <w:rPr>
          <w:i/>
          <w:iCs/>
          <w:color w:val="000000"/>
        </w:rPr>
        <w:t xml:space="preserve">Id. </w:t>
      </w:r>
      <w:r>
        <w:rPr>
          <w:color w:val="000000"/>
        </w:rPr>
        <w:t>at 986.</w:t>
      </w:r>
    </w:p>
    <w:p w14:paraId="619908D1" w14:textId="54EC9B03" w:rsidR="00A77BBD" w:rsidRDefault="00A77BBD" w:rsidP="00A77BBD">
      <w:pPr>
        <w:pStyle w:val="BodyTextFirstIndent"/>
      </w:pPr>
      <w:r>
        <w:rPr>
          <w:color w:val="000000"/>
        </w:rPr>
        <w:t xml:space="preserve">It is with these holdings in mind that </w:t>
      </w:r>
      <w:r w:rsidR="005227D9">
        <w:rPr>
          <w:color w:val="000000"/>
        </w:rPr>
        <w:t xml:space="preserve">we </w:t>
      </w:r>
      <w:r>
        <w:rPr>
          <w:color w:val="000000"/>
        </w:rPr>
        <w:t>examine the law in the various Circuits on the subject of non-consensual release of third-party claims against non-debtors.</w:t>
      </w:r>
    </w:p>
    <w:p w14:paraId="46F4229A" w14:textId="21A01877" w:rsidR="00A77BBD" w:rsidRDefault="005227D9" w:rsidP="00A77BBD">
      <w:pPr>
        <w:pStyle w:val="BodyTextFirstIndent"/>
      </w:pPr>
      <w:r>
        <w:rPr>
          <w:color w:val="000000"/>
        </w:rPr>
        <w:t xml:space="preserve">We </w:t>
      </w:r>
      <w:r w:rsidR="00A77BBD">
        <w:rPr>
          <w:color w:val="000000"/>
        </w:rPr>
        <w:t>begin</w:t>
      </w:r>
      <w:r w:rsidR="008B54D4">
        <w:rPr>
          <w:color w:val="000000"/>
        </w:rPr>
        <w:t>,</w:t>
      </w:r>
      <w:r w:rsidR="00A77BBD">
        <w:rPr>
          <w:color w:val="000000"/>
        </w:rPr>
        <w:t xml:space="preserve"> of course</w:t>
      </w:r>
      <w:r w:rsidR="008B54D4">
        <w:rPr>
          <w:color w:val="000000"/>
        </w:rPr>
        <w:t>,</w:t>
      </w:r>
      <w:r w:rsidR="00A77BBD">
        <w:rPr>
          <w:color w:val="000000"/>
        </w:rPr>
        <w:t xml:space="preserve"> with our own.</w:t>
      </w:r>
    </w:p>
    <w:p w14:paraId="1EE03E45" w14:textId="0D8F764D" w:rsidR="00A77BBD" w:rsidRPr="005B05F9" w:rsidRDefault="00A77BBD" w:rsidP="005B05F9">
      <w:pPr>
        <w:pStyle w:val="Heading4"/>
        <w:rPr>
          <w:u w:val="single"/>
        </w:rPr>
      </w:pPr>
      <w:r w:rsidRPr="005B05F9">
        <w:rPr>
          <w:u w:val="single"/>
        </w:rPr>
        <w:t>Second Circuit Law</w:t>
      </w:r>
    </w:p>
    <w:p w14:paraId="1BC1AC1E" w14:textId="2FE6D4FE" w:rsidR="00A77BBD" w:rsidRDefault="00A77BBD" w:rsidP="00A77BBD">
      <w:pPr>
        <w:pStyle w:val="BodyTextFirstIndent"/>
      </w:pPr>
      <w:r>
        <w:rPr>
          <w:b/>
          <w:bCs/>
          <w:color w:val="000000"/>
          <w:u w:val="single"/>
        </w:rPr>
        <w:t>Manville I</w:t>
      </w:r>
      <w:r w:rsidRPr="007C171F">
        <w:rPr>
          <w:color w:val="000000"/>
        </w:rPr>
        <w:t xml:space="preserve">:  </w:t>
      </w:r>
      <w:r>
        <w:rPr>
          <w:color w:val="000000"/>
        </w:rPr>
        <w:t xml:space="preserve">The relevant law in the Second Circuit begins with </w:t>
      </w:r>
      <w:r>
        <w:rPr>
          <w:i/>
          <w:iCs/>
          <w:color w:val="000000"/>
        </w:rPr>
        <w:t>Manville I</w:t>
      </w:r>
      <w:r w:rsidR="008B54D4">
        <w:rPr>
          <w:i/>
          <w:iCs/>
          <w:color w:val="000000"/>
        </w:rPr>
        <w:t>,</w:t>
      </w:r>
      <w:r>
        <w:rPr>
          <w:color w:val="000000"/>
        </w:rPr>
        <w:t xml:space="preserve"> which has already been discussed</w:t>
      </w:r>
      <w:r w:rsidR="006A227C">
        <w:rPr>
          <w:color w:val="000000"/>
        </w:rPr>
        <w:t xml:space="preserve">.  </w:t>
      </w:r>
      <w:r>
        <w:rPr>
          <w:i/>
          <w:iCs/>
          <w:color w:val="000000"/>
        </w:rPr>
        <w:t>Manville</w:t>
      </w:r>
      <w:r w:rsidR="008B54D4">
        <w:rPr>
          <w:i/>
          <w:iCs/>
          <w:color w:val="000000"/>
        </w:rPr>
        <w:t>’</w:t>
      </w:r>
      <w:r>
        <w:rPr>
          <w:i/>
          <w:iCs/>
          <w:color w:val="000000"/>
        </w:rPr>
        <w:t>s I</w:t>
      </w:r>
      <w:r w:rsidR="008B54D4">
        <w:rPr>
          <w:color w:val="000000"/>
        </w:rPr>
        <w:t>’</w:t>
      </w:r>
      <w:r>
        <w:rPr>
          <w:color w:val="000000"/>
        </w:rPr>
        <w:t xml:space="preserve">s injunction was subsequently codified in </w:t>
      </w:r>
      <w:r w:rsidR="005227D9">
        <w:rPr>
          <w:color w:val="000000"/>
        </w:rPr>
        <w:t xml:space="preserve">Bankruptcy Code </w:t>
      </w:r>
      <w:r>
        <w:rPr>
          <w:color w:val="000000"/>
        </w:rPr>
        <w:t>§§ 524(g) and (h)</w:t>
      </w:r>
      <w:r>
        <w:rPr>
          <w:rStyle w:val="FootnoteReference"/>
          <w:rFonts w:eastAsia="Times New Roman" w:cs="Times New Roman"/>
          <w:color w:val="000000"/>
          <w:vertAlign w:val="superscript"/>
        </w:rPr>
        <w:footnoteReference w:id="34"/>
      </w:r>
      <w:r>
        <w:rPr>
          <w:color w:val="000000"/>
          <w:vertAlign w:val="superscript"/>
        </w:rPr>
        <w:t xml:space="preserve"> </w:t>
      </w:r>
      <w:r>
        <w:rPr>
          <w:color w:val="000000"/>
        </w:rPr>
        <w:t>- which</w:t>
      </w:r>
      <w:r w:rsidR="008B54D4">
        <w:rPr>
          <w:color w:val="000000"/>
        </w:rPr>
        <w:t>,</w:t>
      </w:r>
      <w:r>
        <w:rPr>
          <w:color w:val="000000"/>
        </w:rPr>
        <w:t xml:space="preserve"> as noted above</w:t>
      </w:r>
      <w:r w:rsidR="008B54D4">
        <w:rPr>
          <w:color w:val="000000"/>
        </w:rPr>
        <w:t>,</w:t>
      </w:r>
      <w:r>
        <w:rPr>
          <w:color w:val="000000"/>
        </w:rPr>
        <w:t xml:space="preserve"> are plainly in the Bankruptcy Code</w:t>
      </w:r>
      <w:r w:rsidR="008B54D4">
        <w:rPr>
          <w:color w:val="000000"/>
        </w:rPr>
        <w:t>,</w:t>
      </w:r>
      <w:r>
        <w:rPr>
          <w:color w:val="000000"/>
        </w:rPr>
        <w:t xml:space="preserve"> and are limited to the asbestos context</w:t>
      </w:r>
      <w:r w:rsidR="008B54D4">
        <w:rPr>
          <w:color w:val="000000"/>
        </w:rPr>
        <w:t>,</w:t>
      </w:r>
      <w:r>
        <w:rPr>
          <w:color w:val="000000"/>
        </w:rPr>
        <w:t xml:space="preserve"> and have never been extended by Congress to other areas of endeavor</w:t>
      </w:r>
      <w:r w:rsidR="006A227C">
        <w:rPr>
          <w:color w:val="000000"/>
        </w:rPr>
        <w:t xml:space="preserve">.  </w:t>
      </w:r>
      <w:r>
        <w:rPr>
          <w:color w:val="000000"/>
        </w:rPr>
        <w:t>It is</w:t>
      </w:r>
      <w:r w:rsidR="008B54D4">
        <w:rPr>
          <w:color w:val="000000"/>
        </w:rPr>
        <w:t>,</w:t>
      </w:r>
      <w:r>
        <w:rPr>
          <w:color w:val="000000"/>
        </w:rPr>
        <w:t xml:space="preserve"> moreover</w:t>
      </w:r>
      <w:r w:rsidR="008B54D4">
        <w:rPr>
          <w:color w:val="000000"/>
        </w:rPr>
        <w:t>,</w:t>
      </w:r>
      <w:r>
        <w:rPr>
          <w:color w:val="000000"/>
        </w:rPr>
        <w:t xml:space="preserve"> significant that the injunction authorized by the Second Circuit in </w:t>
      </w:r>
      <w:r>
        <w:rPr>
          <w:i/>
          <w:iCs/>
          <w:color w:val="000000"/>
        </w:rPr>
        <w:t>Manville I</w:t>
      </w:r>
      <w:r>
        <w:rPr>
          <w:color w:val="000000"/>
        </w:rPr>
        <w:t xml:space="preserve"> extended only to claims against parties (insurance companies) holding property that was indisputably part of the </w:t>
      </w:r>
      <w:r>
        <w:rPr>
          <w:i/>
          <w:iCs/>
          <w:color w:val="000000"/>
        </w:rPr>
        <w:t xml:space="preserve">res </w:t>
      </w:r>
      <w:r>
        <w:rPr>
          <w:color w:val="000000"/>
        </w:rPr>
        <w:t>of the debtor</w:t>
      </w:r>
      <w:r w:rsidR="008B54D4">
        <w:rPr>
          <w:color w:val="000000"/>
        </w:rPr>
        <w:t>’</w:t>
      </w:r>
      <w:r>
        <w:rPr>
          <w:color w:val="000000"/>
        </w:rPr>
        <w:t>s estate (policies covering Manville for the manufacture and sale of asbestos)</w:t>
      </w:r>
      <w:r w:rsidR="006A227C">
        <w:rPr>
          <w:color w:val="000000"/>
        </w:rPr>
        <w:t xml:space="preserve">.  </w:t>
      </w:r>
      <w:r>
        <w:rPr>
          <w:color w:val="000000"/>
        </w:rPr>
        <w:t xml:space="preserve">As will be seen when we get to </w:t>
      </w:r>
      <w:r>
        <w:rPr>
          <w:i/>
          <w:iCs/>
          <w:color w:val="000000"/>
        </w:rPr>
        <w:t>Manville III/IV</w:t>
      </w:r>
      <w:r w:rsidR="008B54D4">
        <w:rPr>
          <w:color w:val="000000"/>
        </w:rPr>
        <w:t>,</w:t>
      </w:r>
      <w:r>
        <w:rPr>
          <w:color w:val="000000"/>
        </w:rPr>
        <w:t xml:space="preserve"> when the non-debtor was seeking a release in exchange for contributing property to the debtor</w:t>
      </w:r>
      <w:r w:rsidR="008B54D4">
        <w:rPr>
          <w:color w:val="000000"/>
        </w:rPr>
        <w:t>’</w:t>
      </w:r>
      <w:r>
        <w:rPr>
          <w:color w:val="000000"/>
        </w:rPr>
        <w:t>s estate - as opposed to surrendering property that already was part of the debtor</w:t>
      </w:r>
      <w:r w:rsidR="008B54D4">
        <w:rPr>
          <w:color w:val="000000"/>
        </w:rPr>
        <w:t>’</w:t>
      </w:r>
      <w:r>
        <w:rPr>
          <w:color w:val="000000"/>
        </w:rPr>
        <w:t>s estate - the result</w:t>
      </w:r>
      <w:r w:rsidR="008B54D4">
        <w:rPr>
          <w:color w:val="000000"/>
        </w:rPr>
        <w:t>,</w:t>
      </w:r>
      <w:r>
        <w:rPr>
          <w:color w:val="000000"/>
        </w:rPr>
        <w:t xml:space="preserve"> even in a statutorily authorized asbestos case</w:t>
      </w:r>
      <w:r w:rsidR="008B54D4">
        <w:rPr>
          <w:color w:val="000000"/>
        </w:rPr>
        <w:t>,</w:t>
      </w:r>
      <w:r>
        <w:rPr>
          <w:color w:val="000000"/>
        </w:rPr>
        <w:t xml:space="preserve"> was different.</w:t>
      </w:r>
    </w:p>
    <w:p w14:paraId="1C72E0C7" w14:textId="6762CD6F" w:rsidR="00A77BBD" w:rsidRDefault="00A77BBD" w:rsidP="00A77BBD">
      <w:pPr>
        <w:pStyle w:val="BodyTextFirstIndent"/>
      </w:pPr>
      <w:r>
        <w:rPr>
          <w:b/>
          <w:bCs/>
          <w:color w:val="000000"/>
          <w:u w:val="single"/>
        </w:rPr>
        <w:t>Drexel</w:t>
      </w:r>
      <w:r w:rsidRPr="007C171F">
        <w:rPr>
          <w:color w:val="000000"/>
        </w:rPr>
        <w:t xml:space="preserve">:  </w:t>
      </w:r>
      <w:r>
        <w:rPr>
          <w:color w:val="000000"/>
        </w:rPr>
        <w:t xml:space="preserve">The debtor in </w:t>
      </w:r>
      <w:r>
        <w:rPr>
          <w:i/>
          <w:iCs/>
          <w:color w:val="000000"/>
        </w:rPr>
        <w:t>In re Drexel Burnham Lambert Grp.</w:t>
      </w:r>
      <w:r w:rsidR="008B54D4">
        <w:rPr>
          <w:i/>
          <w:iCs/>
          <w:color w:val="000000"/>
        </w:rPr>
        <w:t>,</w:t>
      </w:r>
      <w:r>
        <w:rPr>
          <w:color w:val="000000"/>
        </w:rPr>
        <w:t xml:space="preserve"> Inc.</w:t>
      </w:r>
      <w:r w:rsidR="008B54D4">
        <w:rPr>
          <w:color w:val="000000"/>
        </w:rPr>
        <w:t>,</w:t>
      </w:r>
      <w:hyperlink r:id="rId155" w:history="1">
        <w:r>
          <w:rPr>
            <w:color w:val="000000"/>
          </w:rPr>
          <w:t xml:space="preserve"> 960 </w:t>
        </w:r>
        <w:r w:rsidR="000F32DE">
          <w:rPr>
            <w:color w:val="000000"/>
          </w:rPr>
          <w:t>F.</w:t>
        </w:r>
        <w:r>
          <w:rPr>
            <w:color w:val="000000"/>
          </w:rPr>
          <w:t xml:space="preserve">2d 285 </w:t>
        </w:r>
      </w:hyperlink>
      <w:r>
        <w:rPr>
          <w:color w:val="000000"/>
        </w:rPr>
        <w:t>(2d Cir.</w:t>
      </w:r>
      <w:r w:rsidR="005B05F9">
        <w:rPr>
          <w:color w:val="000000"/>
        </w:rPr>
        <w:t xml:space="preserve"> </w:t>
      </w:r>
      <w:r>
        <w:rPr>
          <w:color w:val="000000"/>
        </w:rPr>
        <w:t>1992) was the investment bank Drexel Burnham Lambert Group (“DBL”)</w:t>
      </w:r>
      <w:r w:rsidR="008B54D4">
        <w:rPr>
          <w:color w:val="000000"/>
        </w:rPr>
        <w:t>,</w:t>
      </w:r>
      <w:r>
        <w:rPr>
          <w:color w:val="000000"/>
        </w:rPr>
        <w:t xml:space="preserve"> which filed for bankruptcy in 1990</w:t>
      </w:r>
      <w:r w:rsidR="006A227C">
        <w:rPr>
          <w:color w:val="000000"/>
        </w:rPr>
        <w:t xml:space="preserve">.  </w:t>
      </w:r>
      <w:r>
        <w:rPr>
          <w:color w:val="000000"/>
        </w:rPr>
        <w:t>DBL</w:t>
      </w:r>
      <w:r w:rsidR="008B54D4">
        <w:rPr>
          <w:color w:val="000000"/>
        </w:rPr>
        <w:t>’</w:t>
      </w:r>
      <w:r>
        <w:rPr>
          <w:color w:val="000000"/>
        </w:rPr>
        <w:t>s principal creditor was the Securities and Exchange Commission</w:t>
      </w:r>
      <w:r w:rsidR="008B54D4">
        <w:rPr>
          <w:color w:val="000000"/>
        </w:rPr>
        <w:t>,</w:t>
      </w:r>
      <w:r>
        <w:rPr>
          <w:color w:val="000000"/>
        </w:rPr>
        <w:t xml:space="preserve"> which was owed $150 million pursuant to a prior settlement</w:t>
      </w:r>
      <w:r w:rsidR="006A227C">
        <w:rPr>
          <w:color w:val="000000"/>
        </w:rPr>
        <w:t xml:space="preserve">.  </w:t>
      </w:r>
      <w:r>
        <w:rPr>
          <w:color w:val="000000"/>
        </w:rPr>
        <w:t>But over 15</w:t>
      </w:r>
      <w:r w:rsidR="008B54D4">
        <w:rPr>
          <w:color w:val="000000"/>
        </w:rPr>
        <w:t>,</w:t>
      </w:r>
      <w:r>
        <w:rPr>
          <w:color w:val="000000"/>
        </w:rPr>
        <w:t>000 creditors filed proof of claims against the estate</w:t>
      </w:r>
      <w:r w:rsidR="008B54D4">
        <w:rPr>
          <w:color w:val="000000"/>
        </w:rPr>
        <w:t>,</w:t>
      </w:r>
      <w:r>
        <w:rPr>
          <w:color w:val="000000"/>
        </w:rPr>
        <w:t xml:space="preserve"> alleging fraud in connection with four different types of securities transactions.</w:t>
      </w:r>
    </w:p>
    <w:p w14:paraId="7E25F101" w14:textId="180B3D70" w:rsidR="00A77BBD" w:rsidRDefault="00A77BBD" w:rsidP="00A77BBD">
      <w:pPr>
        <w:pStyle w:val="BodyTextFirstIndent"/>
      </w:pPr>
      <w:r>
        <w:rPr>
          <w:color w:val="000000"/>
        </w:rPr>
        <w:t xml:space="preserve">Judge Milton Pollack of this district withdrew all of these securities claims from the bankruptcy court pursuant to </w:t>
      </w:r>
      <w:hyperlink r:id="rId156" w:history="1">
        <w:r>
          <w:rPr>
            <w:color w:val="000000"/>
          </w:rPr>
          <w:t xml:space="preserve">28 </w:t>
        </w:r>
        <w:r w:rsidR="00522B24">
          <w:rPr>
            <w:color w:val="000000"/>
          </w:rPr>
          <w:t xml:space="preserve">U.S.C. </w:t>
        </w:r>
        <w:r>
          <w:rPr>
            <w:color w:val="000000"/>
          </w:rPr>
          <w:t>§ 157(d)</w:t>
        </w:r>
      </w:hyperlink>
      <w:r>
        <w:rPr>
          <w:color w:val="000000"/>
        </w:rPr>
        <w:t xml:space="preserve"> in order to facilitate their settlement</w:t>
      </w:r>
      <w:r w:rsidR="006A227C">
        <w:rPr>
          <w:color w:val="000000"/>
        </w:rPr>
        <w:t xml:space="preserve">.  </w:t>
      </w:r>
      <w:r>
        <w:rPr>
          <w:color w:val="000000"/>
        </w:rPr>
        <w:t>The parties negotiated a settlement that had as its key feature the certification of all the securities claimants into a single</w:t>
      </w:r>
      <w:r w:rsidR="008B54D4">
        <w:rPr>
          <w:color w:val="000000"/>
        </w:rPr>
        <w:t>,</w:t>
      </w:r>
      <w:r>
        <w:rPr>
          <w:color w:val="000000"/>
        </w:rPr>
        <w:t xml:space="preserve"> mandatory</w:t>
      </w:r>
      <w:r w:rsidR="008B54D4">
        <w:rPr>
          <w:color w:val="000000"/>
        </w:rPr>
        <w:t>,</w:t>
      </w:r>
      <w:r>
        <w:rPr>
          <w:color w:val="000000"/>
        </w:rPr>
        <w:t xml:space="preserve"> non-opt-out class (Rule 23(b)(1)(B))</w:t>
      </w:r>
      <w:r w:rsidR="008B54D4">
        <w:rPr>
          <w:color w:val="000000"/>
        </w:rPr>
        <w:t>,</w:t>
      </w:r>
      <w:r>
        <w:rPr>
          <w:color w:val="000000"/>
        </w:rPr>
        <w:t xml:space="preserve"> which was itself divided into two subclasses:  A and B</w:t>
      </w:r>
      <w:r w:rsidR="006A227C">
        <w:rPr>
          <w:color w:val="000000"/>
        </w:rPr>
        <w:t xml:space="preserve">.  </w:t>
      </w:r>
      <w:r>
        <w:rPr>
          <w:color w:val="000000"/>
        </w:rPr>
        <w:t>The members of Subclass B - comprised of securities fraud class action plaintiffs - were</w:t>
      </w:r>
      <w:r w:rsidR="008B54D4">
        <w:rPr>
          <w:color w:val="000000"/>
        </w:rPr>
        <w:t>,</w:t>
      </w:r>
      <w:r>
        <w:rPr>
          <w:color w:val="000000"/>
        </w:rPr>
        <w:t xml:space="preserve"> as part of the settlement</w:t>
      </w:r>
      <w:r w:rsidR="008B54D4">
        <w:rPr>
          <w:color w:val="000000"/>
        </w:rPr>
        <w:t>,</w:t>
      </w:r>
      <w:r>
        <w:rPr>
          <w:color w:val="000000"/>
        </w:rPr>
        <w:t xml:space="preserve"> enjoined from bringing any future actions against the former officers and directors of DBL; while not themselves debtors</w:t>
      </w:r>
      <w:r w:rsidR="008B54D4">
        <w:rPr>
          <w:color w:val="000000"/>
        </w:rPr>
        <w:t>,</w:t>
      </w:r>
      <w:r>
        <w:rPr>
          <w:color w:val="000000"/>
        </w:rPr>
        <w:t xml:space="preserve"> those individuals had contributed to DBL</w:t>
      </w:r>
      <w:r w:rsidR="008B54D4">
        <w:rPr>
          <w:color w:val="000000"/>
        </w:rPr>
        <w:t>’</w:t>
      </w:r>
      <w:r>
        <w:rPr>
          <w:color w:val="000000"/>
        </w:rPr>
        <w:t>s estate.</w:t>
      </w:r>
    </w:p>
    <w:p w14:paraId="109BB4D8" w14:textId="77DC2B53" w:rsidR="00A77BBD" w:rsidRDefault="00A77BBD" w:rsidP="00A77BBD">
      <w:pPr>
        <w:pStyle w:val="BodyTextFirstIndent"/>
      </w:pPr>
      <w:r>
        <w:rPr>
          <w:color w:val="000000"/>
        </w:rPr>
        <w:t xml:space="preserve">The </w:t>
      </w:r>
      <w:r w:rsidR="005227D9">
        <w:rPr>
          <w:color w:val="000000"/>
        </w:rPr>
        <w:t>D</w:t>
      </w:r>
      <w:r>
        <w:rPr>
          <w:color w:val="000000"/>
        </w:rPr>
        <w:t xml:space="preserve">istrict </w:t>
      </w:r>
      <w:r w:rsidR="005227D9">
        <w:rPr>
          <w:color w:val="000000"/>
        </w:rPr>
        <w:t>C</w:t>
      </w:r>
      <w:r>
        <w:rPr>
          <w:color w:val="000000"/>
        </w:rPr>
        <w:t>ourt certified the classes and approved the settlement over the objections of 8 of the 850 proposed class members</w:t>
      </w:r>
      <w:r w:rsidR="006A227C">
        <w:rPr>
          <w:color w:val="000000"/>
        </w:rPr>
        <w:t xml:space="preserve">.  </w:t>
      </w:r>
      <w:r>
        <w:rPr>
          <w:color w:val="000000"/>
        </w:rPr>
        <w:t>Three of the objectors filed appeals</w:t>
      </w:r>
      <w:r w:rsidR="008B54D4">
        <w:rPr>
          <w:color w:val="000000"/>
        </w:rPr>
        <w:t>,</w:t>
      </w:r>
      <w:r>
        <w:rPr>
          <w:color w:val="000000"/>
        </w:rPr>
        <w:t xml:space="preserve"> contending in relevant part that the district court had erred by approving the settlement with it the mandatory injunction against the pursuit of third-party claims by non-consenting plaintiffs.</w:t>
      </w:r>
    </w:p>
    <w:p w14:paraId="40757126" w14:textId="5BB277FD" w:rsidR="00A77BBD" w:rsidRDefault="00A77BBD" w:rsidP="00A77BBD">
      <w:pPr>
        <w:pStyle w:val="BodyTextFirstIndent"/>
      </w:pPr>
      <w:r>
        <w:rPr>
          <w:color w:val="000000"/>
        </w:rPr>
        <w:t>The Second Circuit affirmed the settlement of the securities fraud cases</w:t>
      </w:r>
      <w:r w:rsidR="006A227C">
        <w:rPr>
          <w:color w:val="000000"/>
        </w:rPr>
        <w:t xml:space="preserve">.  </w:t>
      </w:r>
      <w:r>
        <w:rPr>
          <w:color w:val="000000"/>
        </w:rPr>
        <w:t>It noted in passing that</w:t>
      </w:r>
      <w:r w:rsidR="008B54D4">
        <w:rPr>
          <w:color w:val="000000"/>
        </w:rPr>
        <w:t>,</w:t>
      </w:r>
      <w:r>
        <w:rPr>
          <w:color w:val="000000"/>
        </w:rPr>
        <w:t xml:space="preserve"> “In bankruptcy cases</w:t>
      </w:r>
      <w:r w:rsidR="008B54D4">
        <w:rPr>
          <w:color w:val="000000"/>
        </w:rPr>
        <w:t>,</w:t>
      </w:r>
      <w:r>
        <w:rPr>
          <w:color w:val="000000"/>
        </w:rPr>
        <w:t xml:space="preserve"> a court may enjoin a creditor from suing a third party</w:t>
      </w:r>
      <w:r w:rsidR="008B54D4">
        <w:rPr>
          <w:color w:val="000000"/>
        </w:rPr>
        <w:t>,</w:t>
      </w:r>
      <w:r>
        <w:rPr>
          <w:color w:val="000000"/>
        </w:rPr>
        <w:t xml:space="preserve"> provided this injunction plays an important part in the debtor</w:t>
      </w:r>
      <w:r w:rsidR="008B54D4">
        <w:rPr>
          <w:color w:val="000000"/>
        </w:rPr>
        <w:t>’</w:t>
      </w:r>
      <w:r>
        <w:rPr>
          <w:color w:val="000000"/>
        </w:rPr>
        <w:t>s reorganization plan</w:t>
      </w:r>
      <w:r w:rsidR="00FA79C1">
        <w:rPr>
          <w:color w:val="000000"/>
        </w:rPr>
        <w:t xml:space="preserve">.”  </w:t>
      </w:r>
      <w:r>
        <w:rPr>
          <w:i/>
          <w:iCs/>
          <w:color w:val="000000"/>
        </w:rPr>
        <w:t>Drexel</w:t>
      </w:r>
      <w:r w:rsidR="008B54D4">
        <w:rPr>
          <w:color w:val="000000"/>
        </w:rPr>
        <w:t>,</w:t>
      </w:r>
      <w:hyperlink r:id="rId157" w:history="1">
        <w:r>
          <w:rPr>
            <w:color w:val="000000"/>
          </w:rPr>
          <w:t xml:space="preserve"> 960 </w:t>
        </w:r>
        <w:r w:rsidR="000F32DE">
          <w:rPr>
            <w:color w:val="000000"/>
          </w:rPr>
          <w:t>F.</w:t>
        </w:r>
        <w:r>
          <w:rPr>
            <w:color w:val="000000"/>
          </w:rPr>
          <w:t>2d at 293</w:t>
        </w:r>
      </w:hyperlink>
      <w:r>
        <w:rPr>
          <w:color w:val="000000"/>
        </w:rPr>
        <w:t xml:space="preserve"> (citing </w:t>
      </w:r>
      <w:r>
        <w:rPr>
          <w:i/>
          <w:iCs/>
          <w:color w:val="000000"/>
        </w:rPr>
        <w:t>In re A.H</w:t>
      </w:r>
      <w:r w:rsidR="006A227C">
        <w:rPr>
          <w:i/>
          <w:iCs/>
          <w:color w:val="000000"/>
        </w:rPr>
        <w:t xml:space="preserve">.  </w:t>
      </w:r>
      <w:r>
        <w:rPr>
          <w:i/>
          <w:iCs/>
          <w:color w:val="000000"/>
        </w:rPr>
        <w:t>Robins Co</w:t>
      </w:r>
      <w:r>
        <w:rPr>
          <w:color w:val="000000"/>
        </w:rPr>
        <w:t>.</w:t>
      </w:r>
      <w:r w:rsidR="008B54D4">
        <w:rPr>
          <w:color w:val="000000"/>
        </w:rPr>
        <w:t>,</w:t>
      </w:r>
      <w:r>
        <w:rPr>
          <w:color w:val="000000"/>
        </w:rPr>
        <w:t xml:space="preserve"> 880 F.2d 694</w:t>
      </w:r>
      <w:r w:rsidR="008B54D4">
        <w:rPr>
          <w:color w:val="000000"/>
        </w:rPr>
        <w:t>,</w:t>
      </w:r>
      <w:r>
        <w:rPr>
          <w:color w:val="000000"/>
        </w:rPr>
        <w:t xml:space="preserve"> 701 (4th Cir.))</w:t>
      </w:r>
      <w:r w:rsidR="006A227C">
        <w:rPr>
          <w:color w:val="000000"/>
        </w:rPr>
        <w:t xml:space="preserve">.  </w:t>
      </w:r>
      <w:r>
        <w:rPr>
          <w:color w:val="000000"/>
        </w:rPr>
        <w:t>But it cited no section of the Bankruptcy Code that authorized this proposition</w:t>
      </w:r>
      <w:r w:rsidR="006A227C">
        <w:rPr>
          <w:color w:val="000000"/>
        </w:rPr>
        <w:t xml:space="preserve">.  </w:t>
      </w:r>
      <w:r>
        <w:rPr>
          <w:color w:val="000000"/>
        </w:rPr>
        <w:t>In its brief discussion of the objectors</w:t>
      </w:r>
      <w:r w:rsidR="008B54D4">
        <w:rPr>
          <w:color w:val="000000"/>
        </w:rPr>
        <w:t>’</w:t>
      </w:r>
      <w:r>
        <w:rPr>
          <w:color w:val="000000"/>
        </w:rPr>
        <w:t xml:space="preserve"> challenge to the provision in the settlement agreement that barred members of subclass B from bringing or maintaining suits against DBL</w:t>
      </w:r>
      <w:r w:rsidR="008B54D4">
        <w:rPr>
          <w:color w:val="000000"/>
        </w:rPr>
        <w:t>’</w:t>
      </w:r>
      <w:r>
        <w:rPr>
          <w:color w:val="000000"/>
        </w:rPr>
        <w:t>s officers and directors</w:t>
      </w:r>
      <w:r w:rsidR="008B54D4">
        <w:rPr>
          <w:color w:val="000000"/>
        </w:rPr>
        <w:t>,</w:t>
      </w:r>
      <w:r>
        <w:rPr>
          <w:color w:val="000000"/>
        </w:rPr>
        <w:t xml:space="preserve"> the Court of Appeals</w:t>
      </w:r>
      <w:r w:rsidR="008B54D4">
        <w:rPr>
          <w:color w:val="000000"/>
        </w:rPr>
        <w:t>,</w:t>
      </w:r>
      <w:r>
        <w:rPr>
          <w:color w:val="000000"/>
        </w:rPr>
        <w:t xml:space="preserve"> reasoning tautologically</w:t>
      </w:r>
      <w:r w:rsidR="008B54D4">
        <w:rPr>
          <w:color w:val="000000"/>
        </w:rPr>
        <w:t>,</w:t>
      </w:r>
      <w:r>
        <w:rPr>
          <w:color w:val="000000"/>
        </w:rPr>
        <w:t xml:space="preserve"> said this:</w:t>
      </w:r>
    </w:p>
    <w:p w14:paraId="521558E1" w14:textId="6BE31ABC" w:rsidR="00A77BBD" w:rsidRDefault="00A77BBD" w:rsidP="005B05F9">
      <w:pPr>
        <w:pStyle w:val="BlockText"/>
      </w:pPr>
      <w:r>
        <w:t>The Settlement Agreement is unquestionably an essential element of Drexel</w:t>
      </w:r>
      <w:r w:rsidR="008B54D4">
        <w:t>’</w:t>
      </w:r>
      <w:r>
        <w:t>s reorganization</w:t>
      </w:r>
      <w:r w:rsidR="006A227C">
        <w:t xml:space="preserve">.  </w:t>
      </w:r>
      <w:r>
        <w:t>In turn</w:t>
      </w:r>
      <w:r w:rsidR="008B54D4">
        <w:t>,</w:t>
      </w:r>
      <w:r>
        <w:t xml:space="preserve"> the injunction is a key component of the Settlement Agreement</w:t>
      </w:r>
      <w:r w:rsidR="006A227C">
        <w:t xml:space="preserve">.  </w:t>
      </w:r>
      <w:r>
        <w:t>As the district court noted</w:t>
      </w:r>
      <w:r w:rsidR="008B54D4">
        <w:t>,</w:t>
      </w:r>
      <w:r>
        <w:t xml:space="preserve"> the injunction limits the number of lawsuits that may be brought against Drexel</w:t>
      </w:r>
      <w:r w:rsidR="008B54D4">
        <w:t>’</w:t>
      </w:r>
      <w:r>
        <w:t>s former directors and officers</w:t>
      </w:r>
      <w:r w:rsidR="006A227C">
        <w:t xml:space="preserve">.  </w:t>
      </w:r>
      <w:r>
        <w:t>This enables the directors and officers to settle those suits without fear that future suits will be filed</w:t>
      </w:r>
      <w:r w:rsidR="006A227C">
        <w:t xml:space="preserve">.  </w:t>
      </w:r>
      <w:r>
        <w:t>Without the injunction</w:t>
      </w:r>
      <w:r w:rsidR="008B54D4">
        <w:t>,</w:t>
      </w:r>
      <w:r>
        <w:t xml:space="preserve"> the directors and officers would be less likely to settle.</w:t>
      </w:r>
      <w:r w:rsidR="005B05F9">
        <w:t xml:space="preserve">  </w:t>
      </w:r>
      <w:r>
        <w:t>Thus</w:t>
      </w:r>
      <w:r w:rsidR="008B54D4">
        <w:t>,</w:t>
      </w:r>
      <w:r>
        <w:t xml:space="preserve"> we hold that the district court did not abuse its discretion in approving the injunction.</w:t>
      </w:r>
    </w:p>
    <w:p w14:paraId="17FF8C6D" w14:textId="6D1B22CC" w:rsidR="00A77BBD" w:rsidRDefault="00A77BBD" w:rsidP="005B05F9">
      <w:pPr>
        <w:pStyle w:val="BodyTextFirstIndent"/>
        <w:ind w:firstLine="0"/>
      </w:pPr>
      <w:r>
        <w:rPr>
          <w:i/>
          <w:iCs/>
          <w:color w:val="000000"/>
        </w:rPr>
        <w:t>In re Drexel Burnham Lambert Grp.</w:t>
      </w:r>
      <w:r w:rsidR="008B54D4">
        <w:rPr>
          <w:i/>
          <w:iCs/>
          <w:color w:val="000000"/>
        </w:rPr>
        <w:t>,</w:t>
      </w:r>
      <w:r>
        <w:rPr>
          <w:i/>
          <w:iCs/>
          <w:color w:val="000000"/>
        </w:rPr>
        <w:t xml:space="preserve"> Inc</w:t>
      </w:r>
      <w:r>
        <w:rPr>
          <w:color w:val="000000"/>
        </w:rPr>
        <w:t>.</w:t>
      </w:r>
      <w:r w:rsidR="008B54D4">
        <w:rPr>
          <w:color w:val="000000"/>
        </w:rPr>
        <w:t>,</w:t>
      </w:r>
      <w:hyperlink r:id="rId158" w:history="1">
        <w:r>
          <w:rPr>
            <w:color w:val="000000"/>
          </w:rPr>
          <w:t xml:space="preserve"> 960 </w:t>
        </w:r>
        <w:r w:rsidR="000F32DE">
          <w:rPr>
            <w:color w:val="000000"/>
          </w:rPr>
          <w:t>F.</w:t>
        </w:r>
        <w:r>
          <w:rPr>
            <w:color w:val="000000"/>
          </w:rPr>
          <w:t>2d at 293</w:t>
        </w:r>
      </w:hyperlink>
      <w:r w:rsidR="006A227C">
        <w:rPr>
          <w:color w:val="000000"/>
        </w:rPr>
        <w:t xml:space="preserve">.  </w:t>
      </w:r>
      <w:r>
        <w:rPr>
          <w:color w:val="000000"/>
        </w:rPr>
        <w:t>In other words</w:t>
      </w:r>
      <w:r w:rsidR="008B54D4">
        <w:rPr>
          <w:color w:val="000000"/>
        </w:rPr>
        <w:t>,</w:t>
      </w:r>
      <w:r>
        <w:rPr>
          <w:color w:val="000000"/>
        </w:rPr>
        <w:t xml:space="preserve"> the Circuit held that the </w:t>
      </w:r>
      <w:r w:rsidR="005227D9">
        <w:rPr>
          <w:color w:val="000000"/>
        </w:rPr>
        <w:t>D</w:t>
      </w:r>
      <w:r>
        <w:rPr>
          <w:color w:val="000000"/>
        </w:rPr>
        <w:t xml:space="preserve">istrict </w:t>
      </w:r>
      <w:r w:rsidR="005227D9">
        <w:rPr>
          <w:color w:val="000000"/>
        </w:rPr>
        <w:t>C</w:t>
      </w:r>
      <w:r>
        <w:rPr>
          <w:color w:val="000000"/>
        </w:rPr>
        <w:t>ourt had discretion to approve non-debtor releases as part of the settlement of numerous securities fraud class actions in the context of a bankruptcy</w:t>
      </w:r>
      <w:r w:rsidR="008B54D4">
        <w:rPr>
          <w:color w:val="000000"/>
        </w:rPr>
        <w:t>,</w:t>
      </w:r>
      <w:r>
        <w:rPr>
          <w:color w:val="000000"/>
        </w:rPr>
        <w:t xml:space="preserve"> simply and solely because funds were being funneled to the estate that would not otherwise be contributed.</w:t>
      </w:r>
    </w:p>
    <w:p w14:paraId="41BAFF86" w14:textId="14810503" w:rsidR="00A77BBD" w:rsidRDefault="00A77BBD" w:rsidP="00A77BBD">
      <w:pPr>
        <w:pStyle w:val="BodyTextFirstIndent"/>
      </w:pPr>
      <w:r>
        <w:rPr>
          <w:color w:val="000000"/>
        </w:rPr>
        <w:t xml:space="preserve">There are numerous reasons why </w:t>
      </w:r>
      <w:r>
        <w:rPr>
          <w:i/>
          <w:iCs/>
          <w:color w:val="000000"/>
        </w:rPr>
        <w:t>Drexel</w:t>
      </w:r>
      <w:r>
        <w:rPr>
          <w:color w:val="000000"/>
        </w:rPr>
        <w:t xml:space="preserve"> does not answer the question about a court</w:t>
      </w:r>
      <w:r w:rsidR="008B54D4">
        <w:rPr>
          <w:color w:val="000000"/>
        </w:rPr>
        <w:t>’</w:t>
      </w:r>
      <w:r>
        <w:rPr>
          <w:color w:val="000000"/>
        </w:rPr>
        <w:t>s statutory authority under the Bankruptcy Code to release non-debtors over the objection of third parties who have direct claims against them</w:t>
      </w:r>
      <w:r w:rsidR="006A227C">
        <w:rPr>
          <w:color w:val="000000"/>
        </w:rPr>
        <w:t xml:space="preserve">.  </w:t>
      </w:r>
      <w:r>
        <w:rPr>
          <w:color w:val="000000"/>
        </w:rPr>
        <w:t>Two</w:t>
      </w:r>
      <w:r w:rsidR="008B54D4">
        <w:rPr>
          <w:color w:val="000000"/>
        </w:rPr>
        <w:t>,</w:t>
      </w:r>
      <w:r>
        <w:rPr>
          <w:color w:val="000000"/>
        </w:rPr>
        <w:t xml:space="preserve"> however</w:t>
      </w:r>
      <w:r w:rsidR="008B54D4">
        <w:rPr>
          <w:color w:val="000000"/>
        </w:rPr>
        <w:t>,</w:t>
      </w:r>
      <w:r>
        <w:rPr>
          <w:color w:val="000000"/>
        </w:rPr>
        <w:t xml:space="preserve"> are dispositive.</w:t>
      </w:r>
    </w:p>
    <w:p w14:paraId="3DE98DEC" w14:textId="777CE7FE" w:rsidR="00A77BBD" w:rsidRDefault="00A77BBD" w:rsidP="00A77BBD">
      <w:pPr>
        <w:pStyle w:val="BodyTextFirstIndent"/>
      </w:pPr>
      <w:r>
        <w:rPr>
          <w:color w:val="000000"/>
        </w:rPr>
        <w:t>First and foremost</w:t>
      </w:r>
      <w:r w:rsidR="008B54D4">
        <w:rPr>
          <w:color w:val="000000"/>
        </w:rPr>
        <w:t>,</w:t>
      </w:r>
      <w:r>
        <w:rPr>
          <w:color w:val="000000"/>
        </w:rPr>
        <w:t xml:space="preserve"> the Second Circuit simply did not address this question in </w:t>
      </w:r>
      <w:r>
        <w:rPr>
          <w:i/>
          <w:iCs/>
          <w:color w:val="000000"/>
        </w:rPr>
        <w:t>Drexel</w:t>
      </w:r>
      <w:r w:rsidR="006A227C">
        <w:rPr>
          <w:color w:val="000000"/>
        </w:rPr>
        <w:t xml:space="preserve">.  </w:t>
      </w:r>
      <w:r>
        <w:rPr>
          <w:i/>
          <w:iCs/>
          <w:color w:val="000000"/>
        </w:rPr>
        <w:t>Drexel</w:t>
      </w:r>
      <w:r>
        <w:rPr>
          <w:color w:val="000000"/>
        </w:rPr>
        <w:t xml:space="preserve"> mentioned in passing something about a bankruptcy court</w:t>
      </w:r>
      <w:r w:rsidR="008B54D4">
        <w:rPr>
          <w:color w:val="000000"/>
        </w:rPr>
        <w:t>’</w:t>
      </w:r>
      <w:r>
        <w:rPr>
          <w:color w:val="000000"/>
        </w:rPr>
        <w:t>s power to enjoin claims but did not identify any source of that power in the Bankruptcy Code</w:t>
      </w:r>
      <w:r w:rsidR="006A227C">
        <w:rPr>
          <w:color w:val="000000"/>
        </w:rPr>
        <w:t xml:space="preserve">.  </w:t>
      </w:r>
      <w:r>
        <w:rPr>
          <w:color w:val="000000"/>
        </w:rPr>
        <w:t xml:space="preserve">It appears to have assumed </w:t>
      </w:r>
      <w:r>
        <w:rPr>
          <w:i/>
          <w:iCs/>
          <w:color w:val="000000"/>
        </w:rPr>
        <w:t>sub silentio</w:t>
      </w:r>
      <w:r>
        <w:rPr>
          <w:color w:val="000000"/>
        </w:rPr>
        <w:t xml:space="preserve"> that such authority existed.</w:t>
      </w:r>
    </w:p>
    <w:p w14:paraId="43F67332" w14:textId="17421137" w:rsidR="00A77BBD" w:rsidRDefault="00A77BBD" w:rsidP="00A77BBD">
      <w:pPr>
        <w:pStyle w:val="BodyTextFirstIndent"/>
      </w:pPr>
      <w:r>
        <w:rPr>
          <w:color w:val="000000"/>
        </w:rPr>
        <w:t>Second</w:t>
      </w:r>
      <w:r w:rsidR="008B54D4">
        <w:rPr>
          <w:color w:val="000000"/>
        </w:rPr>
        <w:t>,</w:t>
      </w:r>
      <w:r>
        <w:rPr>
          <w:color w:val="000000"/>
        </w:rPr>
        <w:t xml:space="preserve"> </w:t>
      </w:r>
      <w:r>
        <w:rPr>
          <w:i/>
          <w:iCs/>
          <w:color w:val="000000"/>
        </w:rPr>
        <w:t>Drexel</w:t>
      </w:r>
      <w:r>
        <w:rPr>
          <w:color w:val="000000"/>
        </w:rPr>
        <w:t xml:space="preserve"> was decided two years before Congress passed </w:t>
      </w:r>
      <w:r w:rsidR="005227D9">
        <w:rPr>
          <w:color w:val="000000"/>
        </w:rPr>
        <w:t xml:space="preserve">Bankruptcy Code </w:t>
      </w:r>
      <w:r w:rsidR="001D0B25">
        <w:rPr>
          <w:color w:val="000000"/>
        </w:rPr>
        <w:t>§§</w:t>
      </w:r>
      <w:r>
        <w:rPr>
          <w:color w:val="000000"/>
        </w:rPr>
        <w:t>524(g) and (h)</w:t>
      </w:r>
      <w:r w:rsidR="006A227C">
        <w:rPr>
          <w:color w:val="000000"/>
        </w:rPr>
        <w:t xml:space="preserve">.  </w:t>
      </w:r>
      <w:r>
        <w:rPr>
          <w:color w:val="000000"/>
        </w:rPr>
        <w:t>The opinion</w:t>
      </w:r>
      <w:r w:rsidR="008B54D4">
        <w:rPr>
          <w:color w:val="000000"/>
        </w:rPr>
        <w:t>’</w:t>
      </w:r>
      <w:r>
        <w:rPr>
          <w:color w:val="000000"/>
        </w:rPr>
        <w:t>s passing mention of a bankruptcy court</w:t>
      </w:r>
      <w:r w:rsidR="008B54D4">
        <w:rPr>
          <w:color w:val="000000"/>
        </w:rPr>
        <w:t>’</w:t>
      </w:r>
      <w:r>
        <w:rPr>
          <w:color w:val="000000"/>
        </w:rPr>
        <w:t>s power to enjoin a creditor from suing a non-debtor became far less persuasive after Congress</w:t>
      </w:r>
      <w:r w:rsidR="005227D9">
        <w:rPr>
          <w:color w:val="000000"/>
        </w:rPr>
        <w:t>:</w:t>
      </w:r>
      <w:r>
        <w:rPr>
          <w:color w:val="000000"/>
        </w:rPr>
        <w:t xml:space="preserve"> </w:t>
      </w:r>
      <w:r w:rsidR="001D0B25">
        <w:rPr>
          <w:color w:val="000000"/>
        </w:rPr>
        <w:t xml:space="preserve"> </w:t>
      </w:r>
      <w:r>
        <w:rPr>
          <w:color w:val="000000"/>
        </w:rPr>
        <w:t>(1) amended the Bankruptcy Code to authorize such injunctions</w:t>
      </w:r>
      <w:r w:rsidR="008B54D4">
        <w:rPr>
          <w:color w:val="000000"/>
        </w:rPr>
        <w:t>,</w:t>
      </w:r>
      <w:r>
        <w:rPr>
          <w:color w:val="000000"/>
        </w:rPr>
        <w:t xml:space="preserve"> but only in asbestos cases; (2) expressed agnosticism about whether any such authority existed outside of its new legislation; and (3) indicated its intent to consider at some later time whether to extend this authority to industries that were “reportedly experimenting” with such injunctions - which it never has.</w:t>
      </w:r>
      <w:r>
        <w:rPr>
          <w:rStyle w:val="FootnoteReference"/>
          <w:rFonts w:eastAsia="Times New Roman" w:cs="Times New Roman"/>
          <w:color w:val="000000"/>
          <w:vertAlign w:val="superscript"/>
        </w:rPr>
        <w:footnoteReference w:id="35"/>
      </w:r>
    </w:p>
    <w:p w14:paraId="60AE248C" w14:textId="5C9B1C95" w:rsidR="00A77BBD" w:rsidRDefault="00A77BBD" w:rsidP="00A77BBD">
      <w:pPr>
        <w:pStyle w:val="BodyTextFirstIndent"/>
      </w:pPr>
      <w:r>
        <w:rPr>
          <w:color w:val="000000"/>
        </w:rPr>
        <w:t xml:space="preserve">There are other reasons to question the </w:t>
      </w:r>
      <w:r w:rsidR="005227D9">
        <w:rPr>
          <w:color w:val="000000"/>
        </w:rPr>
        <w:t>co</w:t>
      </w:r>
      <w:r w:rsidR="003B7D4B">
        <w:rPr>
          <w:color w:val="000000"/>
        </w:rPr>
        <w:t>ntin</w:t>
      </w:r>
      <w:r>
        <w:rPr>
          <w:color w:val="000000"/>
        </w:rPr>
        <w:t xml:space="preserve">uing </w:t>
      </w:r>
      <w:r w:rsidR="00C63F21">
        <w:rPr>
          <w:color w:val="000000"/>
        </w:rPr>
        <w:t>relevance</w:t>
      </w:r>
      <w:r>
        <w:rPr>
          <w:color w:val="000000"/>
        </w:rPr>
        <w:t xml:space="preserve"> of </w:t>
      </w:r>
      <w:r>
        <w:rPr>
          <w:i/>
          <w:iCs/>
          <w:color w:val="000000"/>
        </w:rPr>
        <w:t>Drexel</w:t>
      </w:r>
      <w:r w:rsidR="00C63F21">
        <w:rPr>
          <w:i/>
          <w:iCs/>
          <w:color w:val="000000"/>
        </w:rPr>
        <w:t xml:space="preserve"> </w:t>
      </w:r>
      <w:r w:rsidR="00C63F21">
        <w:rPr>
          <w:color w:val="000000"/>
        </w:rPr>
        <w:t>in the ins</w:t>
      </w:r>
      <w:r w:rsidR="001D0B25">
        <w:rPr>
          <w:color w:val="000000"/>
        </w:rPr>
        <w:t>t</w:t>
      </w:r>
      <w:r w:rsidR="00C63F21">
        <w:rPr>
          <w:color w:val="000000"/>
        </w:rPr>
        <w:t>ant context</w:t>
      </w:r>
      <w:r w:rsidR="006A227C">
        <w:rPr>
          <w:color w:val="000000"/>
        </w:rPr>
        <w:t>.</w:t>
      </w:r>
      <w:r w:rsidR="00C63F21">
        <w:rPr>
          <w:color w:val="000000"/>
        </w:rPr>
        <w:t xml:space="preserve"> </w:t>
      </w:r>
      <w:r>
        <w:rPr>
          <w:color w:val="000000"/>
        </w:rPr>
        <w:t>Seven years after the Second Circuit</w:t>
      </w:r>
      <w:r w:rsidR="008B54D4">
        <w:rPr>
          <w:color w:val="000000"/>
        </w:rPr>
        <w:t>’</w:t>
      </w:r>
      <w:r>
        <w:rPr>
          <w:color w:val="000000"/>
        </w:rPr>
        <w:t xml:space="preserve">s opinion in </w:t>
      </w:r>
      <w:r>
        <w:rPr>
          <w:i/>
          <w:iCs/>
          <w:color w:val="000000"/>
        </w:rPr>
        <w:t>Drexel</w:t>
      </w:r>
      <w:r w:rsidR="008B54D4" w:rsidRPr="005B05F9">
        <w:rPr>
          <w:color w:val="000000"/>
        </w:rPr>
        <w:t>,</w:t>
      </w:r>
      <w:r>
        <w:rPr>
          <w:color w:val="000000"/>
        </w:rPr>
        <w:t xml:space="preserve"> the Supreme Court expressed doubt about whether the Rule 23(b)(1)(B) “limited fund class action” device that was employed in </w:t>
      </w:r>
      <w:r>
        <w:rPr>
          <w:i/>
          <w:iCs/>
          <w:color w:val="000000"/>
        </w:rPr>
        <w:t>Drexel</w:t>
      </w:r>
      <w:r>
        <w:rPr>
          <w:color w:val="000000"/>
        </w:rPr>
        <w:t xml:space="preserve"> could ever be employed in the mass tort context like this one</w:t>
      </w:r>
      <w:r w:rsidR="008B54D4">
        <w:rPr>
          <w:color w:val="000000"/>
        </w:rPr>
        <w:t>,</w:t>
      </w:r>
      <w:r>
        <w:rPr>
          <w:color w:val="000000"/>
        </w:rPr>
        <w:t xml:space="preserve"> </w:t>
      </w:r>
      <w:r>
        <w:rPr>
          <w:i/>
          <w:iCs/>
          <w:color w:val="000000"/>
        </w:rPr>
        <w:t>Ortiz</w:t>
      </w:r>
      <w:r w:rsidR="00E150C1">
        <w:rPr>
          <w:i/>
          <w:iCs/>
          <w:color w:val="000000"/>
        </w:rPr>
        <w:t xml:space="preserve"> v. </w:t>
      </w:r>
      <w:r>
        <w:rPr>
          <w:i/>
          <w:iCs/>
          <w:color w:val="000000"/>
        </w:rPr>
        <w:t>Fibreboard Corp</w:t>
      </w:r>
      <w:r>
        <w:rPr>
          <w:color w:val="000000"/>
        </w:rPr>
        <w:t>.</w:t>
      </w:r>
      <w:r w:rsidR="008B54D4">
        <w:rPr>
          <w:color w:val="000000"/>
        </w:rPr>
        <w:t>,</w:t>
      </w:r>
      <w:hyperlink r:id="rId159" w:history="1">
        <w:r>
          <w:rPr>
            <w:color w:val="000000"/>
          </w:rPr>
          <w:t xml:space="preserve"> 527 </w:t>
        </w:r>
        <w:r w:rsidR="002F10FB">
          <w:rPr>
            <w:color w:val="000000"/>
          </w:rPr>
          <w:t xml:space="preserve">U.S. </w:t>
        </w:r>
        <w:r>
          <w:rPr>
            <w:color w:val="000000"/>
          </w:rPr>
          <w:t xml:space="preserve">815 </w:t>
        </w:r>
      </w:hyperlink>
      <w:r>
        <w:rPr>
          <w:color w:val="000000"/>
        </w:rPr>
        <w:t>(1999).</w:t>
      </w:r>
    </w:p>
    <w:p w14:paraId="52883D91" w14:textId="3D7EBCAC" w:rsidR="00A77BBD" w:rsidRDefault="00A77BBD" w:rsidP="00A77BBD">
      <w:pPr>
        <w:pStyle w:val="BodyTextFirstIndent"/>
      </w:pPr>
      <w:r>
        <w:rPr>
          <w:color w:val="000000"/>
        </w:rPr>
        <w:t xml:space="preserve">Subsequent to </w:t>
      </w:r>
      <w:r>
        <w:rPr>
          <w:i/>
          <w:iCs/>
          <w:color w:val="000000"/>
        </w:rPr>
        <w:t>Ortiz</w:t>
      </w:r>
      <w:r w:rsidR="008B54D4">
        <w:rPr>
          <w:color w:val="000000"/>
        </w:rPr>
        <w:t>,</w:t>
      </w:r>
      <w:r>
        <w:rPr>
          <w:color w:val="000000"/>
        </w:rPr>
        <w:t xml:space="preserve"> courts have consistently rejected attempts to apply the limited fund mandatory class action device to mass torts</w:t>
      </w:r>
      <w:r w:rsidR="006A227C">
        <w:rPr>
          <w:color w:val="000000"/>
        </w:rPr>
        <w:t xml:space="preserve">.  </w:t>
      </w:r>
      <w:r>
        <w:rPr>
          <w:i/>
          <w:iCs/>
          <w:color w:val="000000"/>
        </w:rPr>
        <w:t>See</w:t>
      </w:r>
      <w:r w:rsidR="008B54D4">
        <w:rPr>
          <w:i/>
          <w:iCs/>
          <w:color w:val="000000"/>
        </w:rPr>
        <w:t>,</w:t>
      </w:r>
      <w:r>
        <w:rPr>
          <w:i/>
          <w:iCs/>
          <w:color w:val="000000"/>
        </w:rPr>
        <w:t xml:space="preserve"> e.g</w:t>
      </w:r>
      <w:r w:rsidRPr="005B05F9">
        <w:rPr>
          <w:color w:val="000000"/>
        </w:rPr>
        <w:t>.</w:t>
      </w:r>
      <w:r w:rsidR="008B54D4" w:rsidRPr="005B05F9">
        <w:rPr>
          <w:color w:val="000000"/>
        </w:rPr>
        <w:t>,</w:t>
      </w:r>
      <w:r>
        <w:rPr>
          <w:i/>
          <w:iCs/>
          <w:color w:val="000000"/>
        </w:rPr>
        <w:t xml:space="preserve"> In re Simon II Litig</w:t>
      </w:r>
      <w:r>
        <w:rPr>
          <w:color w:val="000000"/>
        </w:rPr>
        <w:t>.</w:t>
      </w:r>
      <w:r w:rsidR="008B54D4">
        <w:rPr>
          <w:color w:val="000000"/>
        </w:rPr>
        <w:t>,</w:t>
      </w:r>
      <w:r>
        <w:rPr>
          <w:color w:val="000000"/>
        </w:rPr>
        <w:t xml:space="preserve"> </w:t>
      </w:r>
      <w:hyperlink r:id="rId160" w:history="1">
        <w:r>
          <w:rPr>
            <w:color w:val="000000"/>
          </w:rPr>
          <w:t>407 F.3d 125</w:t>
        </w:r>
        <w:r w:rsidR="008B54D4">
          <w:rPr>
            <w:color w:val="000000"/>
          </w:rPr>
          <w:t>,</w:t>
        </w:r>
        <w:r>
          <w:rPr>
            <w:color w:val="000000"/>
          </w:rPr>
          <w:t xml:space="preserve"> 137-38 </w:t>
        </w:r>
      </w:hyperlink>
      <w:r>
        <w:rPr>
          <w:color w:val="000000"/>
        </w:rPr>
        <w:t xml:space="preserve">(2d </w:t>
      </w:r>
      <w:r w:rsidR="00E97455">
        <w:rPr>
          <w:color w:val="000000"/>
        </w:rPr>
        <w:t xml:space="preserve">Cir. </w:t>
      </w:r>
      <w:r>
        <w:rPr>
          <w:color w:val="000000"/>
        </w:rPr>
        <w:t xml:space="preserve">2005) (tobacco punitive damages litigation); </w:t>
      </w:r>
      <w:r>
        <w:rPr>
          <w:i/>
          <w:iCs/>
          <w:color w:val="000000"/>
        </w:rPr>
        <w:t>Doe</w:t>
      </w:r>
      <w:r w:rsidR="00E150C1">
        <w:rPr>
          <w:i/>
          <w:iCs/>
          <w:color w:val="000000"/>
        </w:rPr>
        <w:t xml:space="preserve"> v. </w:t>
      </w:r>
      <w:r>
        <w:rPr>
          <w:i/>
          <w:iCs/>
          <w:color w:val="000000"/>
        </w:rPr>
        <w:t>Karadzic</w:t>
      </w:r>
      <w:r w:rsidR="008B54D4">
        <w:rPr>
          <w:color w:val="000000"/>
        </w:rPr>
        <w:t>,</w:t>
      </w:r>
      <w:hyperlink r:id="rId161" w:history="1">
        <w:r>
          <w:rPr>
            <w:color w:val="000000"/>
          </w:rPr>
          <w:t xml:space="preserve"> 192 F.R.D</w:t>
        </w:r>
        <w:r w:rsidR="006A227C">
          <w:rPr>
            <w:color w:val="000000"/>
          </w:rPr>
          <w:t xml:space="preserve">.  </w:t>
        </w:r>
        <w:r>
          <w:rPr>
            <w:color w:val="000000"/>
          </w:rPr>
          <w:t>133</w:t>
        </w:r>
        <w:r w:rsidR="008B54D4">
          <w:rPr>
            <w:color w:val="000000"/>
          </w:rPr>
          <w:t>,</w:t>
        </w:r>
        <w:r>
          <w:rPr>
            <w:color w:val="000000"/>
          </w:rPr>
          <w:t xml:space="preserve"> 140-44 </w:t>
        </w:r>
      </w:hyperlink>
      <w:r>
        <w:rPr>
          <w:color w:val="000000"/>
        </w:rPr>
        <w:t>(S.D.N.Y.</w:t>
      </w:r>
      <w:r w:rsidR="005B05F9">
        <w:rPr>
          <w:color w:val="000000"/>
        </w:rPr>
        <w:t xml:space="preserve"> </w:t>
      </w:r>
      <w:r>
        <w:rPr>
          <w:color w:val="000000"/>
        </w:rPr>
        <w:t>2000) (actions by victims of war crimes committed by Bosnia-Herzegovina brought under the Alien Tort Claims Act).</w:t>
      </w:r>
    </w:p>
    <w:p w14:paraId="4FAECDA0" w14:textId="7052B558" w:rsidR="00A77BBD" w:rsidRDefault="00A77BBD" w:rsidP="00A77BBD">
      <w:pPr>
        <w:pStyle w:val="BodyTextFirstIndent"/>
      </w:pPr>
      <w:r>
        <w:rPr>
          <w:color w:val="000000"/>
        </w:rPr>
        <w:t>Moreover</w:t>
      </w:r>
      <w:r w:rsidR="008B54D4">
        <w:rPr>
          <w:color w:val="000000"/>
        </w:rPr>
        <w:t>,</w:t>
      </w:r>
      <w:r>
        <w:rPr>
          <w:color w:val="000000"/>
        </w:rPr>
        <w:t xml:space="preserve"> the Supreme Court also said in </w:t>
      </w:r>
      <w:r>
        <w:rPr>
          <w:i/>
          <w:iCs/>
          <w:color w:val="000000"/>
        </w:rPr>
        <w:t>Ortiz</w:t>
      </w:r>
      <w:r>
        <w:rPr>
          <w:color w:val="000000"/>
        </w:rPr>
        <w:t xml:space="preserve"> that a fund which is “limited” only because the contributing party keeps a large portion of its wealth (</w:t>
      </w:r>
      <w:r>
        <w:rPr>
          <w:i/>
          <w:iCs/>
          <w:color w:val="000000"/>
        </w:rPr>
        <w:t>a la</w:t>
      </w:r>
      <w:r>
        <w:rPr>
          <w:color w:val="000000"/>
        </w:rPr>
        <w:t xml:space="preserve"> the </w:t>
      </w:r>
      <w:r w:rsidR="00E82FD6">
        <w:rPr>
          <w:color w:val="000000"/>
        </w:rPr>
        <w:t>Packler</w:t>
      </w:r>
      <w:r>
        <w:rPr>
          <w:color w:val="000000"/>
        </w:rPr>
        <w:t>s) is “irreconcilable with the justification of necessity in denying any opportunity for withdrawal of class members whose jury trial rights will be compromised</w:t>
      </w:r>
      <w:r w:rsidR="008B54D4">
        <w:rPr>
          <w:color w:val="000000"/>
        </w:rPr>
        <w:t>,</w:t>
      </w:r>
      <w:r>
        <w:rPr>
          <w:color w:val="000000"/>
        </w:rPr>
        <w:t xml:space="preserve"> whose damages will be capped</w:t>
      </w:r>
      <w:r w:rsidR="008B54D4">
        <w:rPr>
          <w:color w:val="000000"/>
        </w:rPr>
        <w:t>,</w:t>
      </w:r>
      <w:r>
        <w:rPr>
          <w:color w:val="000000"/>
        </w:rPr>
        <w:t xml:space="preserve"> and whose payments will be delayed</w:t>
      </w:r>
      <w:r w:rsidR="00FA79C1">
        <w:rPr>
          <w:color w:val="000000"/>
        </w:rPr>
        <w:t xml:space="preserve">.”  </w:t>
      </w:r>
      <w:r>
        <w:rPr>
          <w:i/>
          <w:iCs/>
          <w:color w:val="000000"/>
        </w:rPr>
        <w:t>Ortiz</w:t>
      </w:r>
      <w:r w:rsidR="00E150C1">
        <w:rPr>
          <w:i/>
          <w:iCs/>
          <w:color w:val="000000"/>
        </w:rPr>
        <w:t xml:space="preserve"> v. </w:t>
      </w:r>
      <w:r>
        <w:rPr>
          <w:i/>
          <w:iCs/>
          <w:color w:val="000000"/>
        </w:rPr>
        <w:t>Fibreboard Corp</w:t>
      </w:r>
      <w:r>
        <w:rPr>
          <w:color w:val="000000"/>
        </w:rPr>
        <w:t>.</w:t>
      </w:r>
      <w:r w:rsidR="008B54D4">
        <w:rPr>
          <w:color w:val="000000"/>
        </w:rPr>
        <w:t>,</w:t>
      </w:r>
      <w:hyperlink r:id="rId162" w:history="1">
        <w:r>
          <w:rPr>
            <w:color w:val="000000"/>
          </w:rPr>
          <w:t xml:space="preserve"> 527 </w:t>
        </w:r>
        <w:r w:rsidR="002F10FB">
          <w:rPr>
            <w:color w:val="000000"/>
          </w:rPr>
          <w:t xml:space="preserve">U.S. </w:t>
        </w:r>
        <w:r>
          <w:rPr>
            <w:color w:val="000000"/>
          </w:rPr>
          <w:t>at 860</w:t>
        </w:r>
      </w:hyperlink>
      <w:r w:rsidR="006A227C">
        <w:rPr>
          <w:color w:val="000000"/>
        </w:rPr>
        <w:t xml:space="preserve">.  </w:t>
      </w:r>
      <w:r>
        <w:rPr>
          <w:color w:val="000000"/>
        </w:rPr>
        <w:t>The exact same thing could be said of the third parties whose claims are being extinguished as part of the Plan.</w:t>
      </w:r>
    </w:p>
    <w:p w14:paraId="001346D3" w14:textId="5796DA6C" w:rsidR="00A77BBD" w:rsidRDefault="00A77BBD" w:rsidP="00A77BBD">
      <w:pPr>
        <w:pStyle w:val="BodyTextFirstIndent"/>
      </w:pPr>
      <w:r>
        <w:rPr>
          <w:color w:val="000000"/>
        </w:rPr>
        <w:t xml:space="preserve">Subsequent Second Circuit law in the </w:t>
      </w:r>
      <w:r>
        <w:rPr>
          <w:i/>
          <w:iCs/>
          <w:color w:val="000000"/>
        </w:rPr>
        <w:t>Manville</w:t>
      </w:r>
      <w:r>
        <w:rPr>
          <w:color w:val="000000"/>
        </w:rPr>
        <w:t xml:space="preserve"> cases also casts doubt on a bankruptcy court</w:t>
      </w:r>
      <w:r w:rsidR="008B54D4">
        <w:rPr>
          <w:color w:val="000000"/>
        </w:rPr>
        <w:t>’</w:t>
      </w:r>
      <w:r>
        <w:rPr>
          <w:color w:val="000000"/>
        </w:rPr>
        <w:t>s subject matter jurisdiction to authorize the release of third-party claims against the officers and directors of DBL simply because they would not otherwise have made a contribution to the debtor</w:t>
      </w:r>
      <w:r w:rsidR="008B54D4">
        <w:rPr>
          <w:color w:val="000000"/>
        </w:rPr>
        <w:t>’</w:t>
      </w:r>
      <w:r>
        <w:rPr>
          <w:color w:val="000000"/>
        </w:rPr>
        <w:t>s estate</w:t>
      </w:r>
      <w:r w:rsidR="006A227C">
        <w:rPr>
          <w:color w:val="000000"/>
        </w:rPr>
        <w:t xml:space="preserve">.  </w:t>
      </w:r>
      <w:r>
        <w:rPr>
          <w:i/>
          <w:iCs/>
          <w:color w:val="000000"/>
        </w:rPr>
        <w:t>Manville III</w:t>
      </w:r>
      <w:r w:rsidR="008B54D4">
        <w:rPr>
          <w:color w:val="000000"/>
        </w:rPr>
        <w:t>,</w:t>
      </w:r>
      <w:hyperlink r:id="rId163" w:history="1">
        <w:r>
          <w:rPr>
            <w:color w:val="000000"/>
          </w:rPr>
          <w:t xml:space="preserve"> 517 F.3d at 66</w:t>
        </w:r>
      </w:hyperlink>
      <w:r w:rsidR="006A227C">
        <w:rPr>
          <w:color w:val="000000"/>
        </w:rPr>
        <w:t xml:space="preserve">.  </w:t>
      </w:r>
      <w:r>
        <w:rPr>
          <w:color w:val="000000"/>
        </w:rPr>
        <w:t xml:space="preserve">In </w:t>
      </w:r>
      <w:r>
        <w:rPr>
          <w:i/>
          <w:iCs/>
          <w:color w:val="000000"/>
        </w:rPr>
        <w:t>Manville III/IV</w:t>
      </w:r>
      <w:r w:rsidR="008B54D4">
        <w:rPr>
          <w:color w:val="000000"/>
        </w:rPr>
        <w:t>,</w:t>
      </w:r>
      <w:r>
        <w:rPr>
          <w:color w:val="000000"/>
        </w:rPr>
        <w:t xml:space="preserve"> th</w:t>
      </w:r>
      <w:r w:rsidR="00C63F21">
        <w:rPr>
          <w:color w:val="000000"/>
        </w:rPr>
        <w:t>is Court</w:t>
      </w:r>
      <w:r>
        <w:rPr>
          <w:color w:val="000000"/>
        </w:rPr>
        <w:t xml:space="preserve"> concluded that “a bankruptcy court only has jurisdiction to enjoin third-party non-debtor claims that directly affect the </w:t>
      </w:r>
      <w:r>
        <w:rPr>
          <w:i/>
          <w:iCs/>
          <w:color w:val="000000"/>
        </w:rPr>
        <w:t>res</w:t>
      </w:r>
      <w:r>
        <w:rPr>
          <w:color w:val="000000"/>
        </w:rPr>
        <w:t xml:space="preserve"> of the bankruptcy estate</w:t>
      </w:r>
      <w:r w:rsidR="008B54D4">
        <w:rPr>
          <w:color w:val="000000"/>
        </w:rPr>
        <w:t>,</w:t>
      </w:r>
      <w:r>
        <w:rPr>
          <w:color w:val="000000"/>
        </w:rPr>
        <w:t>” and held that claims asserted against non-debtors that sought “to recover directly from [the] debtor</w:t>
      </w:r>
      <w:r w:rsidR="008B54D4">
        <w:rPr>
          <w:color w:val="000000"/>
        </w:rPr>
        <w:t>’</w:t>
      </w:r>
      <w:r>
        <w:rPr>
          <w:color w:val="000000"/>
        </w:rPr>
        <w:t>s insurer for the insurer</w:t>
      </w:r>
      <w:r w:rsidR="008B54D4">
        <w:rPr>
          <w:color w:val="000000"/>
        </w:rPr>
        <w:t>’</w:t>
      </w:r>
      <w:r>
        <w:rPr>
          <w:color w:val="000000"/>
        </w:rPr>
        <w:t>s own independent wrongdoing” did not have such impa</w:t>
      </w:r>
      <w:r w:rsidR="005B05F9">
        <w:rPr>
          <w:color w:val="000000"/>
        </w:rPr>
        <w:t>c</w:t>
      </w:r>
      <w:r w:rsidR="004F2BA9">
        <w:rPr>
          <w:color w:val="000000"/>
        </w:rPr>
        <w:t xml:space="preserve">t. </w:t>
      </w:r>
      <w:r>
        <w:rPr>
          <w:i/>
          <w:iCs/>
          <w:color w:val="000000"/>
        </w:rPr>
        <w:t>Manville III</w:t>
      </w:r>
      <w:r w:rsidR="008B54D4">
        <w:rPr>
          <w:color w:val="000000"/>
        </w:rPr>
        <w:t>,</w:t>
      </w:r>
      <w:hyperlink r:id="rId164" w:history="1">
        <w:r>
          <w:rPr>
            <w:color w:val="000000"/>
          </w:rPr>
          <w:t xml:space="preserve"> 517 F.3d at 65-66</w:t>
        </w:r>
      </w:hyperlink>
      <w:r w:rsidR="006A227C">
        <w:rPr>
          <w:color w:val="000000"/>
        </w:rPr>
        <w:t xml:space="preserve">.  </w:t>
      </w:r>
      <w:r>
        <w:rPr>
          <w:color w:val="000000"/>
        </w:rPr>
        <w:t xml:space="preserve">In so ruling </w:t>
      </w:r>
      <w:r w:rsidR="00C63F21">
        <w:rPr>
          <w:color w:val="000000"/>
        </w:rPr>
        <w:t>we</w:t>
      </w:r>
      <w:r>
        <w:rPr>
          <w:color w:val="000000"/>
        </w:rPr>
        <w:t xml:space="preserve"> held it of no moment for jurisdictional purposes that the non-debtor was making made a financial contribution to a debtor</w:t>
      </w:r>
      <w:r w:rsidR="008B54D4">
        <w:rPr>
          <w:color w:val="000000"/>
        </w:rPr>
        <w:t>’</w:t>
      </w:r>
      <w:r>
        <w:rPr>
          <w:color w:val="000000"/>
        </w:rPr>
        <w:t>s estate (</w:t>
      </w:r>
      <w:r>
        <w:rPr>
          <w:i/>
          <w:iCs/>
          <w:color w:val="000000"/>
        </w:rPr>
        <w:t>id.</w:t>
      </w:r>
      <w:r>
        <w:rPr>
          <w:color w:val="000000"/>
        </w:rPr>
        <w:t>)</w:t>
      </w:r>
      <w:r w:rsidR="008B54D4">
        <w:rPr>
          <w:color w:val="000000"/>
        </w:rPr>
        <w:t>,</w:t>
      </w:r>
      <w:r>
        <w:rPr>
          <w:color w:val="000000"/>
        </w:rPr>
        <w:t xml:space="preserve"> saying:  “It was inappropriate for the bankruptcy court to enjoin claims brought against a third-party non-debtor </w:t>
      </w:r>
      <w:r>
        <w:rPr>
          <w:i/>
          <w:iCs/>
          <w:color w:val="000000"/>
        </w:rPr>
        <w:t>solely on the basis of that third-party</w:t>
      </w:r>
      <w:r w:rsidR="008B54D4">
        <w:rPr>
          <w:i/>
          <w:iCs/>
          <w:color w:val="000000"/>
        </w:rPr>
        <w:t>’</w:t>
      </w:r>
      <w:r>
        <w:rPr>
          <w:i/>
          <w:iCs/>
          <w:color w:val="000000"/>
        </w:rPr>
        <w:t>s financial contribution to a debtor</w:t>
      </w:r>
      <w:r w:rsidR="008B54D4">
        <w:rPr>
          <w:i/>
          <w:iCs/>
          <w:color w:val="000000"/>
        </w:rPr>
        <w:t>’</w:t>
      </w:r>
      <w:r>
        <w:rPr>
          <w:i/>
          <w:iCs/>
          <w:color w:val="000000"/>
        </w:rPr>
        <w:t>s estate</w:t>
      </w:r>
      <w:r w:rsidR="00FA79C1">
        <w:rPr>
          <w:color w:val="000000"/>
        </w:rPr>
        <w:t xml:space="preserve">.”  </w:t>
      </w:r>
      <w:r w:rsidR="00FD7892">
        <w:rPr>
          <w:i/>
          <w:iCs/>
          <w:color w:val="000000"/>
        </w:rPr>
        <w:t xml:space="preserve">Id. </w:t>
      </w:r>
      <w:r>
        <w:rPr>
          <w:color w:val="000000"/>
        </w:rPr>
        <w:t>(Emphasis added) For this proposition</w:t>
      </w:r>
      <w:r w:rsidR="008B54D4">
        <w:rPr>
          <w:color w:val="000000"/>
        </w:rPr>
        <w:t>,</w:t>
      </w:r>
      <w:r>
        <w:rPr>
          <w:color w:val="000000"/>
        </w:rPr>
        <w:t xml:space="preserve"> the </w:t>
      </w:r>
      <w:r>
        <w:rPr>
          <w:i/>
          <w:iCs/>
          <w:color w:val="000000"/>
        </w:rPr>
        <w:t>Manville III</w:t>
      </w:r>
      <w:r>
        <w:rPr>
          <w:color w:val="000000"/>
        </w:rPr>
        <w:t xml:space="preserve"> panel cited with approval the Third Circuit</w:t>
      </w:r>
      <w:r w:rsidR="008B54D4">
        <w:rPr>
          <w:color w:val="000000"/>
        </w:rPr>
        <w:t>’</w:t>
      </w:r>
      <w:r>
        <w:rPr>
          <w:color w:val="000000"/>
        </w:rPr>
        <w:t xml:space="preserve">s warning from </w:t>
      </w:r>
      <w:r>
        <w:rPr>
          <w:i/>
          <w:iCs/>
          <w:color w:val="000000"/>
        </w:rPr>
        <w:t>In re Combustion Engineering</w:t>
      </w:r>
      <w:r w:rsidR="008B54D4">
        <w:rPr>
          <w:color w:val="000000"/>
        </w:rPr>
        <w:t>,</w:t>
      </w:r>
      <w:r>
        <w:rPr>
          <w:color w:val="000000"/>
        </w:rPr>
        <w:t xml:space="preserve"> where the court had observed that:</w:t>
      </w:r>
    </w:p>
    <w:p w14:paraId="7E90BC01" w14:textId="2C30E16F" w:rsidR="00A77BBD" w:rsidRDefault="00A77BBD" w:rsidP="005B05F9">
      <w:pPr>
        <w:pStyle w:val="BlockText"/>
      </w:pPr>
      <w:r>
        <w:t>a debtor could create subject matter jurisdiction over any on-debtor third-party [simply] by structuring a plan in such a way that it depended upon third party contribution</w:t>
      </w:r>
      <w:r w:rsidR="006A227C">
        <w:t xml:space="preserve">.  </w:t>
      </w:r>
      <w:r>
        <w:t>As we have made clear</w:t>
      </w:r>
      <w:r w:rsidR="008B54D4">
        <w:t>,</w:t>
      </w:r>
      <w:r>
        <w:t xml:space="preserve"> subject matter jurisdiction cannot be conferred by consent of the parties</w:t>
      </w:r>
      <w:r w:rsidR="006A227C">
        <w:t xml:space="preserve">.  </w:t>
      </w:r>
      <w:r>
        <w:t>Where a court lacks subject matter jurisdiction over a dispute</w:t>
      </w:r>
      <w:r w:rsidR="008B54D4">
        <w:t>,</w:t>
      </w:r>
      <w:r>
        <w:t xml:space="preserve"> the parties cannot create it by agreement even in a plan of reorganization.</w:t>
      </w:r>
    </w:p>
    <w:p w14:paraId="11896AC7" w14:textId="45E632EF" w:rsidR="00A77BBD" w:rsidRDefault="00A77BBD" w:rsidP="005B05F9">
      <w:pPr>
        <w:pStyle w:val="BodyTextFirstIndent"/>
        <w:ind w:firstLine="0"/>
      </w:pPr>
      <w:r>
        <w:rPr>
          <w:i/>
          <w:iCs/>
          <w:color w:val="000000"/>
        </w:rPr>
        <w:t>In re Combustion Engineering</w:t>
      </w:r>
      <w:r w:rsidR="008B54D4">
        <w:rPr>
          <w:color w:val="000000"/>
        </w:rPr>
        <w:t>,</w:t>
      </w:r>
      <w:hyperlink r:id="rId165" w:history="1">
        <w:r>
          <w:rPr>
            <w:color w:val="000000"/>
          </w:rPr>
          <w:t xml:space="preserve"> 391 </w:t>
        </w:r>
        <w:r w:rsidR="000F32DE">
          <w:rPr>
            <w:color w:val="000000"/>
          </w:rPr>
          <w:t>F.</w:t>
        </w:r>
        <w:r>
          <w:rPr>
            <w:color w:val="000000"/>
          </w:rPr>
          <w:t>3d 190</w:t>
        </w:r>
        <w:r w:rsidR="008B54D4">
          <w:rPr>
            <w:color w:val="000000"/>
          </w:rPr>
          <w:t>,</w:t>
        </w:r>
        <w:r>
          <w:rPr>
            <w:color w:val="000000"/>
          </w:rPr>
          <w:t xml:space="preserve"> 228 </w:t>
        </w:r>
      </w:hyperlink>
      <w:r>
        <w:rPr>
          <w:color w:val="000000"/>
        </w:rPr>
        <w:t xml:space="preserve">(3d </w:t>
      </w:r>
      <w:r w:rsidR="00E97455">
        <w:rPr>
          <w:color w:val="000000"/>
        </w:rPr>
        <w:t xml:space="preserve">Cir. </w:t>
      </w:r>
      <w:r>
        <w:rPr>
          <w:color w:val="000000"/>
        </w:rPr>
        <w:t>2004).</w:t>
      </w:r>
    </w:p>
    <w:p w14:paraId="5FD21182" w14:textId="1698F6DC" w:rsidR="00A77BBD" w:rsidRDefault="00A77BBD" w:rsidP="00A77BBD">
      <w:pPr>
        <w:pStyle w:val="BodyTextFirstIndent"/>
      </w:pPr>
      <w:r>
        <w:rPr>
          <w:color w:val="000000"/>
        </w:rPr>
        <w:t>Finally</w:t>
      </w:r>
      <w:r w:rsidR="008B54D4">
        <w:rPr>
          <w:color w:val="000000"/>
        </w:rPr>
        <w:t>,</w:t>
      </w:r>
      <w:r>
        <w:rPr>
          <w:color w:val="000000"/>
        </w:rPr>
        <w:t xml:space="preserve"> changes in class action law since </w:t>
      </w:r>
      <w:r>
        <w:rPr>
          <w:i/>
          <w:iCs/>
          <w:color w:val="000000"/>
        </w:rPr>
        <w:t>Drexel</w:t>
      </w:r>
      <w:r>
        <w:rPr>
          <w:color w:val="000000"/>
        </w:rPr>
        <w:t xml:space="preserve"> was decided have rendered its facile analysis of the Rule 23(a) factors</w:t>
      </w:r>
      <w:r w:rsidR="008B54D4">
        <w:rPr>
          <w:color w:val="000000"/>
        </w:rPr>
        <w:t>,</w:t>
      </w:r>
      <w:r>
        <w:rPr>
          <w:color w:val="000000"/>
        </w:rPr>
        <w:t xml:space="preserve"> especially commonality and typicality</w:t>
      </w:r>
      <w:r w:rsidR="008B54D4">
        <w:rPr>
          <w:color w:val="000000"/>
        </w:rPr>
        <w:t>,</w:t>
      </w:r>
      <w:r>
        <w:rPr>
          <w:color w:val="000000"/>
        </w:rPr>
        <w:t xml:space="preserve"> highly suspe</w:t>
      </w:r>
      <w:r w:rsidR="005B05F9">
        <w:rPr>
          <w:color w:val="000000"/>
        </w:rPr>
        <w:t>c</w:t>
      </w:r>
      <w:r w:rsidR="004F2BA9">
        <w:rPr>
          <w:color w:val="000000"/>
        </w:rPr>
        <w:t xml:space="preserve">t. </w:t>
      </w:r>
      <w:r>
        <w:rPr>
          <w:i/>
          <w:iCs/>
          <w:color w:val="000000"/>
        </w:rPr>
        <w:t>Amchem Products</w:t>
      </w:r>
      <w:r w:rsidR="008B54D4">
        <w:rPr>
          <w:i/>
          <w:iCs/>
          <w:color w:val="000000"/>
        </w:rPr>
        <w:t>,</w:t>
      </w:r>
      <w:r>
        <w:rPr>
          <w:i/>
          <w:iCs/>
          <w:color w:val="000000"/>
        </w:rPr>
        <w:t xml:space="preserve"> Inc.</w:t>
      </w:r>
      <w:r w:rsidR="008B54D4">
        <w:rPr>
          <w:i/>
          <w:iCs/>
          <w:color w:val="000000"/>
        </w:rPr>
        <w:t>,</w:t>
      </w:r>
      <w:r w:rsidR="00E150C1">
        <w:rPr>
          <w:i/>
          <w:iCs/>
          <w:color w:val="000000"/>
        </w:rPr>
        <w:t xml:space="preserve"> v. </w:t>
      </w:r>
      <w:r>
        <w:rPr>
          <w:i/>
          <w:iCs/>
          <w:color w:val="000000"/>
        </w:rPr>
        <w:t>Windsor</w:t>
      </w:r>
      <w:r w:rsidR="008B54D4">
        <w:rPr>
          <w:color w:val="000000"/>
        </w:rPr>
        <w:t>,</w:t>
      </w:r>
      <w:hyperlink r:id="rId166" w:history="1">
        <w:r>
          <w:rPr>
            <w:color w:val="000000"/>
          </w:rPr>
          <w:t xml:space="preserve"> 521 </w:t>
        </w:r>
        <w:r w:rsidR="002F10FB">
          <w:rPr>
            <w:color w:val="000000"/>
          </w:rPr>
          <w:t xml:space="preserve">U.S. </w:t>
        </w:r>
        <w:r>
          <w:rPr>
            <w:color w:val="000000"/>
          </w:rPr>
          <w:t xml:space="preserve">591 </w:t>
        </w:r>
      </w:hyperlink>
      <w:r>
        <w:rPr>
          <w:color w:val="000000"/>
        </w:rPr>
        <w:t xml:space="preserve">(1997); </w:t>
      </w:r>
      <w:r>
        <w:rPr>
          <w:i/>
          <w:iCs/>
          <w:color w:val="000000"/>
        </w:rPr>
        <w:t>Ortiz</w:t>
      </w:r>
      <w:r w:rsidR="00E150C1">
        <w:rPr>
          <w:i/>
          <w:iCs/>
          <w:color w:val="000000"/>
        </w:rPr>
        <w:t xml:space="preserve"> v. </w:t>
      </w:r>
      <w:r>
        <w:rPr>
          <w:i/>
          <w:iCs/>
          <w:color w:val="000000"/>
        </w:rPr>
        <w:t>Fibreboard Corp</w:t>
      </w:r>
      <w:r>
        <w:rPr>
          <w:color w:val="000000"/>
        </w:rPr>
        <w:t>.</w:t>
      </w:r>
      <w:r w:rsidR="008B54D4">
        <w:rPr>
          <w:color w:val="000000"/>
        </w:rPr>
        <w:t>,</w:t>
      </w:r>
      <w:hyperlink r:id="rId167" w:history="1">
        <w:r>
          <w:rPr>
            <w:color w:val="000000"/>
          </w:rPr>
          <w:t xml:space="preserve"> 527 </w:t>
        </w:r>
        <w:r w:rsidR="002F10FB">
          <w:rPr>
            <w:color w:val="000000"/>
          </w:rPr>
          <w:t xml:space="preserve">U.S. </w:t>
        </w:r>
        <w:r>
          <w:rPr>
            <w:color w:val="000000"/>
          </w:rPr>
          <w:t xml:space="preserve">815 </w:t>
        </w:r>
      </w:hyperlink>
      <w:r>
        <w:rPr>
          <w:color w:val="000000"/>
        </w:rPr>
        <w:t>(1999</w:t>
      </w:r>
      <w:r w:rsidR="00C63F21">
        <w:rPr>
          <w:color w:val="000000"/>
        </w:rPr>
        <w:t>).</w:t>
      </w:r>
    </w:p>
    <w:p w14:paraId="18F6916E" w14:textId="6FDDF48E" w:rsidR="00A77BBD" w:rsidRDefault="00A77BBD" w:rsidP="00A77BBD">
      <w:pPr>
        <w:pStyle w:val="BodyTextFirstIndent"/>
      </w:pPr>
      <w:r>
        <w:rPr>
          <w:color w:val="000000"/>
        </w:rPr>
        <w:t xml:space="preserve">But one thing is clear:  </w:t>
      </w:r>
      <w:r>
        <w:rPr>
          <w:i/>
          <w:iCs/>
          <w:color w:val="000000"/>
        </w:rPr>
        <w:t>Drexel</w:t>
      </w:r>
      <w:r>
        <w:rPr>
          <w:color w:val="000000"/>
        </w:rPr>
        <w:t xml:space="preserve"> sheds no light whatsoever on the issue of whether releases like the one at bar are authorized </w:t>
      </w:r>
      <w:r>
        <w:rPr>
          <w:i/>
          <w:iCs/>
          <w:color w:val="000000"/>
        </w:rPr>
        <w:t>by the Bankruptcy Code</w:t>
      </w:r>
      <w:r w:rsidR="006A227C">
        <w:rPr>
          <w:color w:val="000000"/>
        </w:rPr>
        <w:t xml:space="preserve">.  </w:t>
      </w:r>
      <w:r>
        <w:rPr>
          <w:color w:val="000000"/>
        </w:rPr>
        <w:t>That statute was never mentioned.</w:t>
      </w:r>
    </w:p>
    <w:p w14:paraId="6155CC38" w14:textId="23B516B7" w:rsidR="00A77BBD" w:rsidRDefault="00A77BBD" w:rsidP="00A77BBD">
      <w:pPr>
        <w:pStyle w:val="BodyTextFirstIndent"/>
      </w:pPr>
      <w:r>
        <w:rPr>
          <w:b/>
          <w:bCs/>
          <w:color w:val="000000"/>
          <w:u w:val="single"/>
        </w:rPr>
        <w:t>New England Dairies/Metromedia</w:t>
      </w:r>
      <w:r>
        <w:rPr>
          <w:color w:val="000000"/>
        </w:rPr>
        <w:t xml:space="preserve">:  In </w:t>
      </w:r>
      <w:r>
        <w:rPr>
          <w:i/>
          <w:iCs/>
          <w:color w:val="000000"/>
        </w:rPr>
        <w:t>New England Dairies</w:t>
      </w:r>
      <w:r w:rsidR="008B54D4">
        <w:rPr>
          <w:i/>
          <w:iCs/>
          <w:color w:val="000000"/>
        </w:rPr>
        <w:t>,</w:t>
      </w:r>
      <w:r>
        <w:rPr>
          <w:i/>
          <w:iCs/>
          <w:color w:val="000000"/>
        </w:rPr>
        <w:t xml:space="preserve"> Inc</w:t>
      </w:r>
      <w:r w:rsidR="006A227C">
        <w:rPr>
          <w:i/>
          <w:iCs/>
          <w:color w:val="000000"/>
        </w:rPr>
        <w:t>.</w:t>
      </w:r>
      <w:r w:rsidR="00E150C1">
        <w:rPr>
          <w:i/>
          <w:iCs/>
          <w:color w:val="000000"/>
        </w:rPr>
        <w:t xml:space="preserve"> v. </w:t>
      </w:r>
      <w:r>
        <w:rPr>
          <w:i/>
          <w:iCs/>
          <w:color w:val="000000"/>
        </w:rPr>
        <w:t>Dairy Mart Convenience Stores</w:t>
      </w:r>
      <w:r w:rsidR="008B54D4">
        <w:rPr>
          <w:i/>
          <w:iCs/>
          <w:color w:val="000000"/>
        </w:rPr>
        <w:t>,</w:t>
      </w:r>
      <w:r>
        <w:rPr>
          <w:i/>
          <w:iCs/>
          <w:color w:val="000000"/>
        </w:rPr>
        <w:t xml:space="preserve"> Inc.</w:t>
      </w:r>
      <w:r w:rsidR="008B54D4">
        <w:rPr>
          <w:i/>
          <w:iCs/>
          <w:color w:val="000000"/>
        </w:rPr>
        <w:t>,</w:t>
      </w:r>
      <w:r>
        <w:rPr>
          <w:i/>
          <w:iCs/>
          <w:color w:val="000000"/>
        </w:rPr>
        <w:t xml:space="preserve"> (In re Dairy Mart Conveniences Stores)</w:t>
      </w:r>
      <w:r w:rsidR="008B54D4" w:rsidRPr="005B05F9">
        <w:rPr>
          <w:color w:val="000000"/>
        </w:rPr>
        <w:t>,</w:t>
      </w:r>
      <w:hyperlink r:id="rId168" w:history="1">
        <w:r>
          <w:rPr>
            <w:color w:val="000000"/>
          </w:rPr>
          <w:t xml:space="preserve"> 351 </w:t>
        </w:r>
        <w:r w:rsidR="000F32DE">
          <w:rPr>
            <w:color w:val="000000"/>
          </w:rPr>
          <w:t>F.</w:t>
        </w:r>
        <w:r>
          <w:rPr>
            <w:color w:val="000000"/>
          </w:rPr>
          <w:t>3d 86</w:t>
        </w:r>
        <w:r w:rsidR="008B54D4">
          <w:rPr>
            <w:color w:val="000000"/>
          </w:rPr>
          <w:t>,</w:t>
        </w:r>
        <w:r>
          <w:rPr>
            <w:color w:val="000000"/>
          </w:rPr>
          <w:t xml:space="preserve"> 92 </w:t>
        </w:r>
      </w:hyperlink>
      <w:r>
        <w:rPr>
          <w:color w:val="000000"/>
        </w:rPr>
        <w:t xml:space="preserve">(2d </w:t>
      </w:r>
      <w:r w:rsidR="00E97455">
        <w:rPr>
          <w:color w:val="000000"/>
        </w:rPr>
        <w:t xml:space="preserve">Cir. </w:t>
      </w:r>
      <w:r>
        <w:rPr>
          <w:color w:val="000000"/>
        </w:rPr>
        <w:t>2003)</w:t>
      </w:r>
      <w:r w:rsidR="008B54D4">
        <w:rPr>
          <w:color w:val="000000"/>
        </w:rPr>
        <w:t>,</w:t>
      </w:r>
      <w:r w:rsidR="005B05F9">
        <w:rPr>
          <w:color w:val="000000"/>
        </w:rPr>
        <w:t xml:space="preserve"> </w:t>
      </w:r>
      <w:r w:rsidR="00C63F21">
        <w:rPr>
          <w:color w:val="000000"/>
        </w:rPr>
        <w:t>we</w:t>
      </w:r>
      <w:r>
        <w:rPr>
          <w:color w:val="000000"/>
        </w:rPr>
        <w:t xml:space="preserve"> rejected the argument that §105(a) of the</w:t>
      </w:r>
      <w:r w:rsidR="005B05F9">
        <w:rPr>
          <w:color w:val="000000"/>
        </w:rPr>
        <w:t xml:space="preserve"> </w:t>
      </w:r>
      <w:r>
        <w:rPr>
          <w:color w:val="000000"/>
        </w:rPr>
        <w:t>Bankruptcy Code (</w:t>
      </w:r>
      <w:r>
        <w:rPr>
          <w:i/>
          <w:iCs/>
          <w:color w:val="000000"/>
        </w:rPr>
        <w:t>see supra</w:t>
      </w:r>
      <w:r w:rsidR="008B54D4">
        <w:rPr>
          <w:color w:val="000000"/>
        </w:rPr>
        <w:t>,</w:t>
      </w:r>
      <w:r>
        <w:rPr>
          <w:color w:val="000000"/>
        </w:rPr>
        <w:t xml:space="preserve"> at p</w:t>
      </w:r>
      <w:r w:rsidR="006A227C">
        <w:rPr>
          <w:color w:val="000000"/>
        </w:rPr>
        <w:t xml:space="preserve">. </w:t>
      </w:r>
      <w:r>
        <w:rPr>
          <w:color w:val="000000"/>
        </w:rPr>
        <w:t>101-102) could “create substantive rights that are otherwise</w:t>
      </w:r>
      <w:r w:rsidR="005B05F9">
        <w:rPr>
          <w:color w:val="000000"/>
        </w:rPr>
        <w:t xml:space="preserve"> </w:t>
      </w:r>
      <w:r>
        <w:rPr>
          <w:color w:val="000000"/>
        </w:rPr>
        <w:t>unavailable under applicable law</w:t>
      </w:r>
      <w:r w:rsidR="00FA79C1">
        <w:rPr>
          <w:color w:val="000000"/>
        </w:rPr>
        <w:t xml:space="preserve">.”  </w:t>
      </w:r>
      <w:r>
        <w:rPr>
          <w:color w:val="000000"/>
        </w:rPr>
        <w:t>As the author of the opinion (Judge Jacobs) recognized:</w:t>
      </w:r>
    </w:p>
    <w:p w14:paraId="33886E90" w14:textId="4E7618CD" w:rsidR="00A77BBD" w:rsidRDefault="00A77BBD" w:rsidP="005B05F9">
      <w:pPr>
        <w:pStyle w:val="BlockText"/>
      </w:pPr>
      <w:r>
        <w:t xml:space="preserve">The equitable power conferred on the bankruptcy court by section 105(a) is the power to exercise equity in carrying out the </w:t>
      </w:r>
      <w:r>
        <w:rPr>
          <w:i/>
          <w:iCs/>
        </w:rPr>
        <w:t>provisions</w:t>
      </w:r>
      <w:r>
        <w:t xml:space="preserve"> of the Bankruptcy Code</w:t>
      </w:r>
      <w:r w:rsidR="008B54D4">
        <w:t>,</w:t>
      </w:r>
      <w:r>
        <w:t xml:space="preserve"> rather than to further the purposes of the Bankruptcy Code generally</w:t>
      </w:r>
      <w:r w:rsidR="008B54D4">
        <w:t>,</w:t>
      </w:r>
      <w:r>
        <w:t xml:space="preserve"> or otherwise to do the right thing</w:t>
      </w:r>
      <w:r w:rsidR="006A227C">
        <w:t xml:space="preserve">.  </w:t>
      </w:r>
      <w:r>
        <w:t>This language “suggests that an exercise of section 105 power be tied to another Bankruptcy Code section and not merely to a general bankruptcy concept or objective</w:t>
      </w:r>
      <w:r w:rsidR="00FA79C1">
        <w:t xml:space="preserve">.”  </w:t>
      </w:r>
      <w:r>
        <w:t xml:space="preserve">2 </w:t>
      </w:r>
      <w:r>
        <w:rPr>
          <w:i/>
          <w:iCs/>
        </w:rPr>
        <w:t>Collier on Bankruptcy</w:t>
      </w:r>
      <w:r>
        <w:t xml:space="preserve"> 105.01[1].</w:t>
      </w:r>
      <w:r>
        <w:rPr>
          <w:rStyle w:val="FootnoteReference"/>
          <w:rFonts w:eastAsia="Times New Roman" w:cs="Times New Roman"/>
          <w:color w:val="000000"/>
          <w:vertAlign w:val="superscript"/>
        </w:rPr>
        <w:footnoteReference w:id="36"/>
      </w:r>
    </w:p>
    <w:p w14:paraId="14066B93" w14:textId="23419501" w:rsidR="00A77BBD" w:rsidRDefault="00A77BBD" w:rsidP="006B40E3">
      <w:pPr>
        <w:pStyle w:val="BodyTextFirstIndent"/>
        <w:ind w:firstLine="0"/>
      </w:pPr>
      <w:r>
        <w:rPr>
          <w:i/>
          <w:iCs/>
          <w:color w:val="000000"/>
        </w:rPr>
        <w:t>In re Dairy Mart Conveniences Stores</w:t>
      </w:r>
      <w:r w:rsidR="008B54D4" w:rsidRPr="006B40E3">
        <w:rPr>
          <w:color w:val="000000"/>
        </w:rPr>
        <w:t>,</w:t>
      </w:r>
      <w:hyperlink r:id="rId169" w:history="1">
        <w:r>
          <w:rPr>
            <w:color w:val="000000"/>
          </w:rPr>
          <w:t xml:space="preserve"> 351 </w:t>
        </w:r>
        <w:r w:rsidR="000F32DE">
          <w:rPr>
            <w:color w:val="000000"/>
          </w:rPr>
          <w:t>F.</w:t>
        </w:r>
        <w:r>
          <w:rPr>
            <w:color w:val="000000"/>
          </w:rPr>
          <w:t>3d at 92</w:t>
        </w:r>
      </w:hyperlink>
      <w:r>
        <w:rPr>
          <w:color w:val="000000"/>
        </w:rPr>
        <w:t>.</w:t>
      </w:r>
    </w:p>
    <w:p w14:paraId="55599109" w14:textId="0EE0824E" w:rsidR="00A77BBD" w:rsidRDefault="00A77BBD" w:rsidP="00A77BBD">
      <w:pPr>
        <w:pStyle w:val="BodyTextFirstIndent"/>
      </w:pPr>
      <w:r>
        <w:rPr>
          <w:i/>
          <w:iCs/>
          <w:color w:val="000000"/>
        </w:rPr>
        <w:t>In re Dairy Mart</w:t>
      </w:r>
      <w:r>
        <w:rPr>
          <w:color w:val="000000"/>
        </w:rPr>
        <w:t xml:space="preserve"> did not involve the confirmation of a plan containing non-debtor releases of third-party claims</w:t>
      </w:r>
      <w:r w:rsidR="008B54D4">
        <w:rPr>
          <w:color w:val="000000"/>
        </w:rPr>
        <w:t>,</w:t>
      </w:r>
      <w:r>
        <w:rPr>
          <w:color w:val="000000"/>
        </w:rPr>
        <w:t xml:space="preserve"> so technically it did not speak to the question pending before this Court</w:t>
      </w:r>
      <w:r w:rsidR="006A227C">
        <w:rPr>
          <w:color w:val="000000"/>
        </w:rPr>
        <w:t xml:space="preserve">.  </w:t>
      </w:r>
      <w:r>
        <w:rPr>
          <w:color w:val="000000"/>
        </w:rPr>
        <w:t>But two years later</w:t>
      </w:r>
      <w:r w:rsidR="008B54D4">
        <w:rPr>
          <w:color w:val="000000"/>
        </w:rPr>
        <w:t>,</w:t>
      </w:r>
      <w:r>
        <w:rPr>
          <w:color w:val="000000"/>
        </w:rPr>
        <w:t xml:space="preserve"> Judge Jacobs authored </w:t>
      </w:r>
      <w:r>
        <w:rPr>
          <w:i/>
          <w:iCs/>
          <w:color w:val="000000"/>
        </w:rPr>
        <w:t>In re Metromedia Fiber Network</w:t>
      </w:r>
      <w:r w:rsidR="008B54D4">
        <w:rPr>
          <w:i/>
          <w:iCs/>
          <w:color w:val="000000"/>
        </w:rPr>
        <w:t>,</w:t>
      </w:r>
      <w:r>
        <w:rPr>
          <w:i/>
          <w:iCs/>
          <w:color w:val="000000"/>
        </w:rPr>
        <w:t xml:space="preserve"> Inc</w:t>
      </w:r>
      <w:r>
        <w:rPr>
          <w:color w:val="000000"/>
        </w:rPr>
        <w:t>.</w:t>
      </w:r>
      <w:r w:rsidR="008B54D4">
        <w:rPr>
          <w:color w:val="000000"/>
        </w:rPr>
        <w:t>,</w:t>
      </w:r>
      <w:r>
        <w:rPr>
          <w:color w:val="000000"/>
        </w:rPr>
        <w:t xml:space="preserve"> </w:t>
      </w:r>
      <w:hyperlink r:id="rId170" w:history="1">
        <w:r>
          <w:rPr>
            <w:color w:val="000000"/>
          </w:rPr>
          <w:t>416 F.3d 136</w:t>
        </w:r>
      </w:hyperlink>
      <w:r>
        <w:rPr>
          <w:color w:val="000000"/>
        </w:rPr>
        <w:t xml:space="preserve"> (2d </w:t>
      </w:r>
      <w:r w:rsidR="00E97455">
        <w:rPr>
          <w:color w:val="000000"/>
        </w:rPr>
        <w:t xml:space="preserve">Cir. </w:t>
      </w:r>
      <w:r>
        <w:rPr>
          <w:color w:val="000000"/>
        </w:rPr>
        <w:t>2005)</w:t>
      </w:r>
      <w:r w:rsidR="008B54D4">
        <w:rPr>
          <w:color w:val="000000"/>
        </w:rPr>
        <w:t>,</w:t>
      </w:r>
      <w:r>
        <w:rPr>
          <w:color w:val="000000"/>
        </w:rPr>
        <w:t xml:space="preserve"> which did.</w:t>
      </w:r>
    </w:p>
    <w:p w14:paraId="5F33AC6F" w14:textId="5C2C9CF3" w:rsidR="00A77BBD" w:rsidRDefault="00A77BBD" w:rsidP="00A77BBD">
      <w:pPr>
        <w:pStyle w:val="BodyTextFirstIndent"/>
      </w:pPr>
      <w:r>
        <w:rPr>
          <w:color w:val="000000"/>
        </w:rPr>
        <w:t>Metromedia Fiber Network</w:t>
      </w:r>
      <w:r w:rsidR="008B54D4">
        <w:rPr>
          <w:color w:val="000000"/>
        </w:rPr>
        <w:t>,</w:t>
      </w:r>
      <w:r>
        <w:rPr>
          <w:color w:val="000000"/>
        </w:rPr>
        <w:t xml:space="preserve"> Inc</w:t>
      </w:r>
      <w:r w:rsidR="006A227C">
        <w:rPr>
          <w:color w:val="000000"/>
        </w:rPr>
        <w:t xml:space="preserve">.  </w:t>
      </w:r>
      <w:r>
        <w:rPr>
          <w:color w:val="000000"/>
        </w:rPr>
        <w:t>and its subsidiaries declared bankruptcy</w:t>
      </w:r>
      <w:r w:rsidR="006A227C">
        <w:rPr>
          <w:color w:val="000000"/>
        </w:rPr>
        <w:t xml:space="preserve">.  </w:t>
      </w:r>
      <w:r>
        <w:rPr>
          <w:i/>
          <w:iCs/>
          <w:color w:val="000000"/>
        </w:rPr>
        <w:t>See Metromedia</w:t>
      </w:r>
      <w:r w:rsidR="008B54D4">
        <w:rPr>
          <w:i/>
          <w:iCs/>
          <w:color w:val="000000"/>
        </w:rPr>
        <w:t>,</w:t>
      </w:r>
      <w:r w:rsidR="006B40E3">
        <w:rPr>
          <w:i/>
          <w:iCs/>
          <w:color w:val="000000"/>
        </w:rPr>
        <w:t xml:space="preserve"> </w:t>
      </w:r>
      <w:hyperlink r:id="rId171" w:history="1">
        <w:r>
          <w:rPr>
            <w:color w:val="000000"/>
          </w:rPr>
          <w:t>416 F.3d 136</w:t>
        </w:r>
        <w:r w:rsidR="008B54D4">
          <w:rPr>
            <w:color w:val="000000"/>
          </w:rPr>
          <w:t>,</w:t>
        </w:r>
        <w:r>
          <w:rPr>
            <w:color w:val="000000"/>
          </w:rPr>
          <w:t xml:space="preserve"> 138</w:t>
        </w:r>
      </w:hyperlink>
      <w:r>
        <w:rPr>
          <w:color w:val="000000"/>
        </w:rPr>
        <w:t xml:space="preserve"> (2d</w:t>
      </w:r>
      <w:r w:rsidR="006A227C">
        <w:rPr>
          <w:color w:val="000000"/>
        </w:rPr>
        <w:t xml:space="preserve">.  </w:t>
      </w:r>
      <w:r w:rsidR="00E97455">
        <w:rPr>
          <w:color w:val="000000"/>
        </w:rPr>
        <w:t xml:space="preserve">Cir. </w:t>
      </w:r>
      <w:r>
        <w:rPr>
          <w:color w:val="000000"/>
        </w:rPr>
        <w:t>2005)</w:t>
      </w:r>
      <w:r w:rsidR="006A227C">
        <w:rPr>
          <w:color w:val="000000"/>
        </w:rPr>
        <w:t xml:space="preserve">.  </w:t>
      </w:r>
      <w:r>
        <w:rPr>
          <w:color w:val="000000"/>
        </w:rPr>
        <w:t>The company</w:t>
      </w:r>
      <w:r w:rsidR="008B54D4">
        <w:rPr>
          <w:color w:val="000000"/>
        </w:rPr>
        <w:t>’</w:t>
      </w:r>
      <w:r>
        <w:rPr>
          <w:color w:val="000000"/>
        </w:rPr>
        <w:t>s founder</w:t>
      </w:r>
      <w:r w:rsidR="008B54D4">
        <w:rPr>
          <w:color w:val="000000"/>
        </w:rPr>
        <w:t>,</w:t>
      </w:r>
      <w:r>
        <w:rPr>
          <w:color w:val="000000"/>
        </w:rPr>
        <w:t xml:space="preserve"> John W</w:t>
      </w:r>
      <w:r w:rsidR="006A227C">
        <w:rPr>
          <w:color w:val="000000"/>
        </w:rPr>
        <w:t xml:space="preserve">.  </w:t>
      </w:r>
      <w:r>
        <w:rPr>
          <w:color w:val="000000"/>
        </w:rPr>
        <w:t>Kluge</w:t>
      </w:r>
      <w:r w:rsidR="008B54D4">
        <w:rPr>
          <w:color w:val="000000"/>
        </w:rPr>
        <w:t>,</w:t>
      </w:r>
      <w:r>
        <w:rPr>
          <w:color w:val="000000"/>
        </w:rPr>
        <w:t xml:space="preserve"> did not</w:t>
      </w:r>
      <w:r w:rsidR="006A227C">
        <w:rPr>
          <w:color w:val="000000"/>
        </w:rPr>
        <w:t xml:space="preserve">.  </w:t>
      </w:r>
      <w:r>
        <w:rPr>
          <w:color w:val="000000"/>
        </w:rPr>
        <w:t>However</w:t>
      </w:r>
      <w:r w:rsidR="008B54D4">
        <w:rPr>
          <w:color w:val="000000"/>
        </w:rPr>
        <w:t>,</w:t>
      </w:r>
      <w:r>
        <w:rPr>
          <w:color w:val="000000"/>
        </w:rPr>
        <w:t xml:space="preserve"> as part of the plan of reorganization</w:t>
      </w:r>
      <w:r w:rsidR="008B54D4">
        <w:rPr>
          <w:color w:val="000000"/>
        </w:rPr>
        <w:t>,</w:t>
      </w:r>
      <w:r>
        <w:rPr>
          <w:color w:val="000000"/>
        </w:rPr>
        <w:t xml:space="preserve"> Kluge</w:t>
      </w:r>
      <w:r w:rsidR="008B54D4">
        <w:rPr>
          <w:color w:val="000000"/>
        </w:rPr>
        <w:t>,</w:t>
      </w:r>
      <w:r>
        <w:rPr>
          <w:color w:val="000000"/>
        </w:rPr>
        <w:t xml:space="preserve"> as grantor</w:t>
      </w:r>
      <w:r w:rsidR="008B54D4">
        <w:rPr>
          <w:color w:val="000000"/>
        </w:rPr>
        <w:t>,</w:t>
      </w:r>
      <w:r>
        <w:rPr>
          <w:color w:val="000000"/>
        </w:rPr>
        <w:t xml:space="preserve"> established the “Kluge Trust</w:t>
      </w:r>
      <w:r w:rsidR="00FA79C1">
        <w:rPr>
          <w:color w:val="000000"/>
        </w:rPr>
        <w:t xml:space="preserve">.”  </w:t>
      </w:r>
      <w:r w:rsidR="00FD7892">
        <w:rPr>
          <w:i/>
          <w:iCs/>
          <w:color w:val="000000"/>
        </w:rPr>
        <w:t xml:space="preserve">Id. </w:t>
      </w:r>
      <w:r>
        <w:rPr>
          <w:color w:val="000000"/>
        </w:rPr>
        <w:t>at 141 n.4</w:t>
      </w:r>
      <w:r w:rsidR="006A227C">
        <w:rPr>
          <w:color w:val="000000"/>
        </w:rPr>
        <w:t xml:space="preserve">.  </w:t>
      </w:r>
      <w:r>
        <w:rPr>
          <w:color w:val="000000"/>
        </w:rPr>
        <w:t xml:space="preserve">Under the plan of reorganization proposed </w:t>
      </w:r>
      <w:r w:rsidR="001D0B25">
        <w:rPr>
          <w:color w:val="000000"/>
        </w:rPr>
        <w:t>in</w:t>
      </w:r>
      <w:r>
        <w:rPr>
          <w:color w:val="000000"/>
        </w:rPr>
        <w:t xml:space="preserve"> the</w:t>
      </w:r>
      <w:r w:rsidR="00C63F21">
        <w:rPr>
          <w:color w:val="000000"/>
        </w:rPr>
        <w:t xml:space="preserve"> </w:t>
      </w:r>
      <w:r w:rsidR="001D0B25">
        <w:rPr>
          <w:color w:val="000000"/>
        </w:rPr>
        <w:t>b</w:t>
      </w:r>
      <w:r w:rsidR="00C63F21">
        <w:rPr>
          <w:color w:val="000000"/>
        </w:rPr>
        <w:t>ankruptcy</w:t>
      </w:r>
      <w:r>
        <w:rPr>
          <w:color w:val="000000"/>
        </w:rPr>
        <w:t xml:space="preserve"> </w:t>
      </w:r>
      <w:r w:rsidR="001D0B25">
        <w:rPr>
          <w:color w:val="000000"/>
        </w:rPr>
        <w:t>c</w:t>
      </w:r>
      <w:r>
        <w:rPr>
          <w:color w:val="000000"/>
        </w:rPr>
        <w:t>ourt</w:t>
      </w:r>
      <w:r w:rsidR="008B54D4">
        <w:rPr>
          <w:color w:val="000000"/>
        </w:rPr>
        <w:t>,</w:t>
      </w:r>
      <w:r>
        <w:rPr>
          <w:color w:val="000000"/>
        </w:rPr>
        <w:t xml:space="preserve"> the Kluge Trust was to make “a </w:t>
      </w:r>
      <w:r w:rsidR="008B54D4">
        <w:rPr>
          <w:color w:val="000000"/>
        </w:rPr>
        <w:t>‘</w:t>
      </w:r>
      <w:r>
        <w:rPr>
          <w:color w:val="000000"/>
        </w:rPr>
        <w:t>material contribution</w:t>
      </w:r>
      <w:r w:rsidR="008B54D4">
        <w:rPr>
          <w:color w:val="000000"/>
        </w:rPr>
        <w:t>’</w:t>
      </w:r>
      <w:r>
        <w:rPr>
          <w:color w:val="000000"/>
        </w:rPr>
        <w:t xml:space="preserve"> to the estate” in the bankruptcy</w:t>
      </w:r>
      <w:r w:rsidR="008B54D4">
        <w:rPr>
          <w:color w:val="000000"/>
        </w:rPr>
        <w:t>,</w:t>
      </w:r>
      <w:r>
        <w:rPr>
          <w:color w:val="000000"/>
        </w:rPr>
        <w:t xml:space="preserve"> (</w:t>
      </w:r>
      <w:r w:rsidR="00FD7892">
        <w:rPr>
          <w:i/>
          <w:iCs/>
          <w:color w:val="000000"/>
        </w:rPr>
        <w:t xml:space="preserve">Id. </w:t>
      </w:r>
      <w:r>
        <w:rPr>
          <w:color w:val="000000"/>
        </w:rPr>
        <w:t>at 143)</w:t>
      </w:r>
      <w:r w:rsidR="008B54D4">
        <w:rPr>
          <w:color w:val="000000"/>
        </w:rPr>
        <w:t>,</w:t>
      </w:r>
      <w:r>
        <w:rPr>
          <w:color w:val="000000"/>
        </w:rPr>
        <w:t xml:space="preserve"> by “[i]</w:t>
      </w:r>
      <w:r w:rsidR="006B40E3">
        <w:rPr>
          <w:color w:val="000000"/>
        </w:rPr>
        <w:t> </w:t>
      </w:r>
      <w:r>
        <w:rPr>
          <w:color w:val="000000"/>
        </w:rPr>
        <w:t>forgiv[ing] approximately $150 million in unsecured claims against Metromedia; [ii]</w:t>
      </w:r>
      <w:r w:rsidR="006B40E3">
        <w:rPr>
          <w:color w:val="000000"/>
        </w:rPr>
        <w:t> </w:t>
      </w:r>
      <w:r>
        <w:rPr>
          <w:color w:val="000000"/>
        </w:rPr>
        <w:t>convert[ing] $15.7 million in senior secured claims to equity in the Reorganized Debtors; [iii] invest[ing] approximately $12.1 million in the Reorganized Debtors; and [iv] purchas[ing] up to $25 million of unsold common stock in the Reorganized Debtors</w:t>
      </w:r>
      <w:r w:rsidR="008B54D4">
        <w:rPr>
          <w:color w:val="000000"/>
        </w:rPr>
        <w:t>’</w:t>
      </w:r>
      <w:r>
        <w:rPr>
          <w:color w:val="000000"/>
        </w:rPr>
        <w:t xml:space="preserve"> planned stock offering</w:t>
      </w:r>
      <w:r w:rsidR="00FA79C1">
        <w:rPr>
          <w:color w:val="000000"/>
        </w:rPr>
        <w:t xml:space="preserve">.”  </w:t>
      </w:r>
      <w:r w:rsidR="00FD7892">
        <w:rPr>
          <w:i/>
          <w:iCs/>
          <w:color w:val="000000"/>
        </w:rPr>
        <w:t xml:space="preserve">Id. </w:t>
      </w:r>
      <w:r>
        <w:rPr>
          <w:color w:val="000000"/>
        </w:rPr>
        <w:t>at 141</w:t>
      </w:r>
      <w:r w:rsidR="006A227C">
        <w:rPr>
          <w:color w:val="000000"/>
        </w:rPr>
        <w:t xml:space="preserve">.  </w:t>
      </w:r>
      <w:r>
        <w:rPr>
          <w:color w:val="000000"/>
        </w:rPr>
        <w:t xml:space="preserve">Metromedia itself would </w:t>
      </w:r>
      <w:r w:rsidR="00C63F21">
        <w:rPr>
          <w:color w:val="000000"/>
        </w:rPr>
        <w:t>con</w:t>
      </w:r>
      <w:r w:rsidR="003B7D4B">
        <w:rPr>
          <w:color w:val="000000"/>
        </w:rPr>
        <w:t>tin</w:t>
      </w:r>
      <w:r>
        <w:rPr>
          <w:color w:val="000000"/>
        </w:rPr>
        <w:t>ue to exist after its reorganization - albeit under a new name</w:t>
      </w:r>
      <w:r w:rsidR="008B54D4">
        <w:rPr>
          <w:color w:val="000000"/>
        </w:rPr>
        <w:t>,</w:t>
      </w:r>
      <w:r>
        <w:rPr>
          <w:color w:val="000000"/>
        </w:rPr>
        <w:t xml:space="preserve"> AboveNET - and to engage in the business of providing high bandwidth telecommunications circuits</w:t>
      </w:r>
      <w:r w:rsidR="008B54D4">
        <w:rPr>
          <w:color w:val="000000"/>
        </w:rPr>
        <w:t>,</w:t>
      </w:r>
      <w:r>
        <w:rPr>
          <w:color w:val="000000"/>
        </w:rPr>
        <w:t xml:space="preserve"> which was its historic business model.</w:t>
      </w:r>
    </w:p>
    <w:p w14:paraId="5C6B0D11" w14:textId="635CFC2A" w:rsidR="00A77BBD" w:rsidRDefault="00A77BBD" w:rsidP="006B40E3">
      <w:pPr>
        <w:pStyle w:val="BlockText"/>
      </w:pPr>
      <w:r>
        <w:t>In exchange for the Kluge Trust</w:t>
      </w:r>
      <w:r w:rsidR="008B54D4">
        <w:t>’</w:t>
      </w:r>
      <w:r>
        <w:t>s contributions</w:t>
      </w:r>
      <w:r w:rsidR="008B54D4">
        <w:t>,</w:t>
      </w:r>
      <w:r>
        <w:t xml:space="preserve"> the Kluge Trust and certain “Kluge Insiders” were to receive 10.8% of the Reorganized Debtors</w:t>
      </w:r>
      <w:r w:rsidR="008B54D4">
        <w:t>’</w:t>
      </w:r>
      <w:r>
        <w:t xml:space="preserve"> common stock and something called the “Kluge Comprehensive Release</w:t>
      </w:r>
      <w:r w:rsidR="00FA79C1">
        <w:t xml:space="preserve">.”  </w:t>
      </w:r>
      <w:r w:rsidR="00FD7892">
        <w:rPr>
          <w:i/>
          <w:iCs/>
        </w:rPr>
        <w:t xml:space="preserve">Id. </w:t>
      </w:r>
      <w:r w:rsidR="006B40E3">
        <w:rPr>
          <w:i/>
          <w:iCs/>
        </w:rPr>
        <w:t xml:space="preserve"> </w:t>
      </w:r>
      <w:r>
        <w:t>The Kluge Comprehensive Release provided:  the Kluge Trust and each of the Kluge Insider shall receive a full and complete release</w:t>
      </w:r>
      <w:r w:rsidR="008B54D4">
        <w:t>,</w:t>
      </w:r>
      <w:r>
        <w:t xml:space="preserve"> waiver and discharge from </w:t>
      </w:r>
      <w:r w:rsidR="00110F91">
        <w:t xml:space="preserve">. . . </w:t>
      </w:r>
      <w:r>
        <w:t xml:space="preserve">any holder of a claim of any nature </w:t>
      </w:r>
      <w:r w:rsidR="00110F91">
        <w:t xml:space="preserve">. . . </w:t>
      </w:r>
      <w:r>
        <w:t>of any and all claims</w:t>
      </w:r>
      <w:r w:rsidR="008B54D4">
        <w:t>,</w:t>
      </w:r>
      <w:r>
        <w:t xml:space="preserve"> obligations</w:t>
      </w:r>
      <w:r w:rsidR="008B54D4">
        <w:t>,</w:t>
      </w:r>
      <w:r>
        <w:t xml:space="preserve"> rights</w:t>
      </w:r>
      <w:r w:rsidR="008B54D4">
        <w:t>,</w:t>
      </w:r>
      <w:r>
        <w:t xml:space="preserve"> causes of action and liabilities arising out of or in connection with any matter related to [Metromedia] or one or more subsidiaries </w:t>
      </w:r>
      <w:r w:rsidR="00110F91">
        <w:t xml:space="preserve">. . . </w:t>
      </w:r>
      <w:r>
        <w:t>based in whole or in part upon any act or omission or transaction taking place on or before the Effective Date.</w:t>
      </w:r>
    </w:p>
    <w:p w14:paraId="11E130DA" w14:textId="77777777" w:rsidR="00A77BBD" w:rsidRDefault="00A77BBD" w:rsidP="006B40E3">
      <w:pPr>
        <w:pStyle w:val="BodyTextFirstIndent"/>
        <w:ind w:firstLine="0"/>
      </w:pPr>
      <w:r>
        <w:rPr>
          <w:i/>
          <w:iCs/>
          <w:color w:val="000000"/>
        </w:rPr>
        <w:t>Id.</w:t>
      </w:r>
    </w:p>
    <w:p w14:paraId="071BCF59" w14:textId="342707AB" w:rsidR="00A77BBD" w:rsidRDefault="00A77BBD" w:rsidP="00A77BBD">
      <w:pPr>
        <w:pStyle w:val="BodyTextFirstIndent"/>
      </w:pPr>
      <w:r>
        <w:rPr>
          <w:color w:val="000000"/>
        </w:rPr>
        <w:t>The release was broad and did not carve out any exception - even for claims that could not be discharged against a debtor in bankruptcy</w:t>
      </w:r>
      <w:r w:rsidR="008B54D4">
        <w:rPr>
          <w:color w:val="000000"/>
        </w:rPr>
        <w:t>,</w:t>
      </w:r>
      <w:r>
        <w:rPr>
          <w:color w:val="000000"/>
        </w:rPr>
        <w:t xml:space="preserve"> such as those predicated on fraud or willful misconduct.</w:t>
      </w:r>
    </w:p>
    <w:p w14:paraId="50EE4CFE" w14:textId="0F285288" w:rsidR="00A77BBD" w:rsidRDefault="00A77BBD" w:rsidP="00A77BBD">
      <w:pPr>
        <w:pStyle w:val="BodyTextFirstIndent"/>
      </w:pPr>
      <w:r>
        <w:rPr>
          <w:color w:val="000000"/>
        </w:rPr>
        <w:t>Following confirmation of the plan</w:t>
      </w:r>
      <w:r w:rsidR="008B54D4">
        <w:rPr>
          <w:color w:val="000000"/>
        </w:rPr>
        <w:t>,</w:t>
      </w:r>
      <w:r>
        <w:rPr>
          <w:color w:val="000000"/>
        </w:rPr>
        <w:t xml:space="preserve"> appellant creditors Deutsche Bank AG (London Branch) and Bear</w:t>
      </w:r>
      <w:r w:rsidR="008B54D4">
        <w:rPr>
          <w:color w:val="000000"/>
        </w:rPr>
        <w:t>,</w:t>
      </w:r>
      <w:r>
        <w:rPr>
          <w:color w:val="000000"/>
        </w:rPr>
        <w:t xml:space="preserve"> Stearns &amp; Co.</w:t>
      </w:r>
      <w:r w:rsidR="008B54D4">
        <w:rPr>
          <w:color w:val="000000"/>
        </w:rPr>
        <w:t>,</w:t>
      </w:r>
      <w:r>
        <w:rPr>
          <w:color w:val="000000"/>
        </w:rPr>
        <w:t xml:space="preserve"> Inc</w:t>
      </w:r>
      <w:r w:rsidR="006A227C">
        <w:rPr>
          <w:color w:val="000000"/>
        </w:rPr>
        <w:t xml:space="preserve">. </w:t>
      </w:r>
      <w:r>
        <w:rPr>
          <w:color w:val="000000"/>
        </w:rPr>
        <w:t>challenged the “largely implemented” plan of reorganization and argued that the releases in the plan of reorganization “improperly shield certain nondebtors from suit by the creditors</w:t>
      </w:r>
      <w:r w:rsidR="00FA79C1">
        <w:rPr>
          <w:color w:val="000000"/>
        </w:rPr>
        <w:t xml:space="preserve">.”  </w:t>
      </w:r>
      <w:r w:rsidR="00FD7892">
        <w:rPr>
          <w:i/>
          <w:iCs/>
          <w:color w:val="000000"/>
        </w:rPr>
        <w:t xml:space="preserve">Id. </w:t>
      </w:r>
      <w:r>
        <w:rPr>
          <w:color w:val="000000"/>
        </w:rPr>
        <w:t>at 138</w:t>
      </w:r>
      <w:r w:rsidR="006A227C">
        <w:rPr>
          <w:color w:val="000000"/>
        </w:rPr>
        <w:t xml:space="preserve">.  </w:t>
      </w:r>
      <w:r>
        <w:rPr>
          <w:color w:val="000000"/>
        </w:rPr>
        <w:t>On appeal</w:t>
      </w:r>
      <w:r w:rsidR="008B54D4">
        <w:rPr>
          <w:color w:val="000000"/>
        </w:rPr>
        <w:t>,</w:t>
      </w:r>
      <w:r>
        <w:rPr>
          <w:color w:val="000000"/>
        </w:rPr>
        <w:t xml:space="preserve"> the </w:t>
      </w:r>
      <w:r w:rsidR="001D0B25">
        <w:rPr>
          <w:color w:val="000000"/>
        </w:rPr>
        <w:t>d</w:t>
      </w:r>
      <w:r>
        <w:rPr>
          <w:color w:val="000000"/>
        </w:rPr>
        <w:t xml:space="preserve">istrict </w:t>
      </w:r>
      <w:r w:rsidR="001D0B25">
        <w:rPr>
          <w:color w:val="000000"/>
        </w:rPr>
        <w:t>c</w:t>
      </w:r>
      <w:r>
        <w:rPr>
          <w:color w:val="000000"/>
        </w:rPr>
        <w:t xml:space="preserve">ourt both affirmed the plan of reorganization and ruled that the relief sought by the two banks was not “barred by the doctrine of equitable mootness because effective relief could have been afforded without </w:t>
      </w:r>
      <w:r w:rsidR="008B54D4">
        <w:rPr>
          <w:color w:val="000000"/>
        </w:rPr>
        <w:t>‘</w:t>
      </w:r>
      <w:r>
        <w:rPr>
          <w:color w:val="000000"/>
        </w:rPr>
        <w:t>unraveling the plan.</w:t>
      </w:r>
      <w:r w:rsidR="008B54D4">
        <w:rPr>
          <w:color w:val="000000"/>
        </w:rPr>
        <w:t>’</w:t>
      </w:r>
      <w:r>
        <w:rPr>
          <w:color w:val="000000"/>
        </w:rPr>
        <w:t>”</w:t>
      </w:r>
      <w:r w:rsidR="006B40E3">
        <w:rPr>
          <w:color w:val="000000"/>
        </w:rPr>
        <w:t xml:space="preserve"> </w:t>
      </w:r>
      <w:r>
        <w:rPr>
          <w:color w:val="000000"/>
        </w:rPr>
        <w:t xml:space="preserve"> </w:t>
      </w:r>
      <w:r w:rsidR="00FD7892">
        <w:rPr>
          <w:i/>
          <w:iCs/>
          <w:color w:val="000000"/>
        </w:rPr>
        <w:t xml:space="preserve">Id. </w:t>
      </w:r>
      <w:r>
        <w:rPr>
          <w:color w:val="000000"/>
        </w:rPr>
        <w:t>at 139.</w:t>
      </w:r>
    </w:p>
    <w:p w14:paraId="38A176C9" w14:textId="71D59E18" w:rsidR="00A77BBD" w:rsidRDefault="00C63F21" w:rsidP="00A77BBD">
      <w:pPr>
        <w:pStyle w:val="BodyTextFirstIndent"/>
      </w:pPr>
      <w:r>
        <w:rPr>
          <w:color w:val="000000"/>
        </w:rPr>
        <w:t>We</w:t>
      </w:r>
      <w:r w:rsidR="00A77BBD">
        <w:rPr>
          <w:color w:val="000000"/>
        </w:rPr>
        <w:t xml:space="preserve"> vacated the </w:t>
      </w:r>
      <w:r w:rsidR="001D0B25">
        <w:rPr>
          <w:color w:val="000000"/>
        </w:rPr>
        <w:t>d</w:t>
      </w:r>
      <w:r w:rsidR="00A77BBD">
        <w:rPr>
          <w:color w:val="000000"/>
        </w:rPr>
        <w:t xml:space="preserve">istrict </w:t>
      </w:r>
      <w:r w:rsidR="001D0B25">
        <w:rPr>
          <w:color w:val="000000"/>
        </w:rPr>
        <w:t>c</w:t>
      </w:r>
      <w:r w:rsidR="00A77BBD">
        <w:rPr>
          <w:color w:val="000000"/>
        </w:rPr>
        <w:t>ourt</w:t>
      </w:r>
      <w:r w:rsidR="008B54D4">
        <w:rPr>
          <w:color w:val="000000"/>
        </w:rPr>
        <w:t>’</w:t>
      </w:r>
      <w:r w:rsidR="00A77BBD">
        <w:rPr>
          <w:color w:val="000000"/>
        </w:rPr>
        <w:t>s affirmance of the plan</w:t>
      </w:r>
      <w:r w:rsidR="008B54D4">
        <w:rPr>
          <w:color w:val="000000"/>
        </w:rPr>
        <w:t>,</w:t>
      </w:r>
      <w:r w:rsidR="00A77BBD">
        <w:rPr>
          <w:color w:val="000000"/>
        </w:rPr>
        <w:t xml:space="preserve"> on the ground that</w:t>
      </w:r>
      <w:r w:rsidR="006B40E3">
        <w:rPr>
          <w:color w:val="000000"/>
        </w:rPr>
        <w:t xml:space="preserve"> </w:t>
      </w:r>
      <w:r w:rsidR="00A77BBD">
        <w:rPr>
          <w:color w:val="000000"/>
        </w:rPr>
        <w:t xml:space="preserve">the </w:t>
      </w:r>
      <w:r w:rsidR="001D0B25">
        <w:rPr>
          <w:color w:val="000000"/>
        </w:rPr>
        <w:t>b</w:t>
      </w:r>
      <w:r w:rsidR="00A77BBD">
        <w:rPr>
          <w:color w:val="000000"/>
        </w:rPr>
        <w:t xml:space="preserve">ankruptcy </w:t>
      </w:r>
      <w:r w:rsidR="001D0B25">
        <w:rPr>
          <w:color w:val="000000"/>
        </w:rPr>
        <w:t>c</w:t>
      </w:r>
      <w:r w:rsidR="00A77BBD">
        <w:rPr>
          <w:color w:val="000000"/>
        </w:rPr>
        <w:t>ourt had failed to make certain findings necessary to a determination that the non</w:t>
      </w:r>
      <w:r w:rsidR="00A77BBD">
        <w:rPr>
          <w:color w:val="000000"/>
        </w:rPr>
        <w:softHyphen/>
        <w:t>consensual third-party releases should be approved</w:t>
      </w:r>
      <w:r w:rsidR="006A227C">
        <w:rPr>
          <w:color w:val="000000"/>
        </w:rPr>
        <w:t xml:space="preserve">.  </w:t>
      </w:r>
      <w:r w:rsidR="00FD7892">
        <w:rPr>
          <w:i/>
          <w:iCs/>
          <w:color w:val="000000"/>
        </w:rPr>
        <w:t xml:space="preserve">Id. </w:t>
      </w:r>
      <w:r w:rsidR="00A77BBD">
        <w:rPr>
          <w:color w:val="000000"/>
        </w:rPr>
        <w:t>at 143</w:t>
      </w:r>
      <w:r w:rsidR="006A227C">
        <w:rPr>
          <w:color w:val="000000"/>
        </w:rPr>
        <w:t xml:space="preserve">.  </w:t>
      </w:r>
      <w:r w:rsidR="00A77BBD">
        <w:rPr>
          <w:color w:val="000000"/>
        </w:rPr>
        <w:t>But the plan had been substantially consummated by the time the appeal was heard</w:t>
      </w:r>
      <w:r w:rsidR="008B54D4">
        <w:rPr>
          <w:color w:val="000000"/>
        </w:rPr>
        <w:t>,</w:t>
      </w:r>
      <w:r w:rsidR="00A77BBD">
        <w:rPr>
          <w:color w:val="000000"/>
        </w:rPr>
        <w:t xml:space="preserve"> so </w:t>
      </w:r>
      <w:r>
        <w:rPr>
          <w:color w:val="000000"/>
        </w:rPr>
        <w:t>we</w:t>
      </w:r>
      <w:r w:rsidR="00A77BBD">
        <w:rPr>
          <w:color w:val="000000"/>
        </w:rPr>
        <w:t xml:space="preserve"> concluded that the matter was indeed equitably moot</w:t>
      </w:r>
      <w:r w:rsidR="006A227C">
        <w:rPr>
          <w:color w:val="000000"/>
        </w:rPr>
        <w:t xml:space="preserve">.  </w:t>
      </w:r>
      <w:r w:rsidR="00A77BBD">
        <w:rPr>
          <w:color w:val="000000"/>
        </w:rPr>
        <w:t>As a result</w:t>
      </w:r>
      <w:r w:rsidR="008B54D4">
        <w:rPr>
          <w:color w:val="000000"/>
        </w:rPr>
        <w:t>,</w:t>
      </w:r>
      <w:r w:rsidR="00A77BBD">
        <w:rPr>
          <w:color w:val="000000"/>
        </w:rPr>
        <w:t xml:space="preserve"> </w:t>
      </w:r>
      <w:r>
        <w:rPr>
          <w:color w:val="000000"/>
        </w:rPr>
        <w:t>we</w:t>
      </w:r>
      <w:r w:rsidR="00A77BBD">
        <w:rPr>
          <w:color w:val="000000"/>
        </w:rPr>
        <w:t xml:space="preserve"> declined to remand so that a lower court could make the missing findings and reconsider the propriety of the releases</w:t>
      </w:r>
      <w:r w:rsidR="006A227C">
        <w:rPr>
          <w:color w:val="000000"/>
        </w:rPr>
        <w:t xml:space="preserve">.  </w:t>
      </w:r>
      <w:r w:rsidR="00FD7892">
        <w:rPr>
          <w:i/>
          <w:iCs/>
          <w:color w:val="000000"/>
        </w:rPr>
        <w:t xml:space="preserve">Id. </w:t>
      </w:r>
      <w:r w:rsidR="00A77BBD">
        <w:rPr>
          <w:color w:val="000000"/>
        </w:rPr>
        <w:t>at 145.</w:t>
      </w:r>
    </w:p>
    <w:p w14:paraId="0E60F466" w14:textId="5ACF84F1" w:rsidR="00A77BBD" w:rsidRDefault="00A77BBD" w:rsidP="00A77BBD">
      <w:pPr>
        <w:pStyle w:val="BodyTextFirstIndent"/>
      </w:pPr>
      <w:r>
        <w:rPr>
          <w:color w:val="000000"/>
        </w:rPr>
        <w:t>Before reaching this result</w:t>
      </w:r>
      <w:r w:rsidR="008B54D4">
        <w:rPr>
          <w:color w:val="000000"/>
        </w:rPr>
        <w:t>,</w:t>
      </w:r>
      <w:r>
        <w:rPr>
          <w:color w:val="000000"/>
        </w:rPr>
        <w:t xml:space="preserve"> the panel discussed whether non-debtor releases were available in connection with someone else</w:t>
      </w:r>
      <w:r w:rsidR="008B54D4">
        <w:rPr>
          <w:color w:val="000000"/>
        </w:rPr>
        <w:t>’</w:t>
      </w:r>
      <w:r>
        <w:rPr>
          <w:color w:val="000000"/>
        </w:rPr>
        <w:t>s bankruptcy</w:t>
      </w:r>
      <w:r w:rsidR="006A227C">
        <w:rPr>
          <w:color w:val="000000"/>
        </w:rPr>
        <w:t xml:space="preserve">.  </w:t>
      </w:r>
      <w:r w:rsidR="00C63F21">
        <w:rPr>
          <w:color w:val="000000"/>
        </w:rPr>
        <w:t>We</w:t>
      </w:r>
      <w:r>
        <w:rPr>
          <w:color w:val="000000"/>
        </w:rPr>
        <w:t xml:space="preserve"> identified “two considerations that</w:t>
      </w:r>
      <w:r w:rsidR="006B40E3">
        <w:rPr>
          <w:color w:val="000000"/>
        </w:rPr>
        <w:t xml:space="preserve"> </w:t>
      </w:r>
      <w:r>
        <w:rPr>
          <w:color w:val="000000"/>
        </w:rPr>
        <w:t xml:space="preserve">justify </w:t>
      </w:r>
      <w:r w:rsidR="00110F91">
        <w:rPr>
          <w:color w:val="000000"/>
        </w:rPr>
        <w:t xml:space="preserve">. . . </w:t>
      </w:r>
      <w:r>
        <w:rPr>
          <w:color w:val="000000"/>
        </w:rPr>
        <w:t>reluctance to approve non-debtor releases</w:t>
      </w:r>
      <w:r w:rsidR="00FA79C1">
        <w:rPr>
          <w:color w:val="000000"/>
        </w:rPr>
        <w:t xml:space="preserve">.”  </w:t>
      </w:r>
      <w:r w:rsidR="00FD7892">
        <w:rPr>
          <w:i/>
          <w:iCs/>
          <w:color w:val="000000"/>
        </w:rPr>
        <w:t xml:space="preserve">Id. </w:t>
      </w:r>
      <w:r>
        <w:rPr>
          <w:color w:val="000000"/>
        </w:rPr>
        <w:t>at 141</w:t>
      </w:r>
      <w:r w:rsidR="006A227C">
        <w:rPr>
          <w:color w:val="000000"/>
        </w:rPr>
        <w:t xml:space="preserve">. </w:t>
      </w:r>
      <w:r w:rsidR="00C63F21">
        <w:rPr>
          <w:color w:val="000000"/>
        </w:rPr>
        <w:t xml:space="preserve">We </w:t>
      </w:r>
      <w:r>
        <w:rPr>
          <w:color w:val="000000"/>
        </w:rPr>
        <w:t>noted that such releases were not specifically authorized outside of the asbestos context:</w:t>
      </w:r>
    </w:p>
    <w:p w14:paraId="6EC3FF8D" w14:textId="77777777" w:rsidR="006B40E3" w:rsidRDefault="00A77BBD" w:rsidP="006B40E3">
      <w:pPr>
        <w:pStyle w:val="BlockText"/>
      </w:pPr>
      <w:r>
        <w:t>[T]he only explicit authorization in the Bankruptcy Code for nondebtor releases is</w:t>
      </w:r>
      <w:r w:rsidR="006B40E3">
        <w:t xml:space="preserve"> </w:t>
      </w:r>
      <w:hyperlink r:id="rId172" w:history="1">
        <w:r>
          <w:t xml:space="preserve">11 </w:t>
        </w:r>
        <w:r w:rsidR="00522B24">
          <w:t xml:space="preserve">U.S.C. </w:t>
        </w:r>
        <w:r>
          <w:t>§ 524(g)</w:t>
        </w:r>
      </w:hyperlink>
      <w:r w:rsidR="008B54D4">
        <w:t>,</w:t>
      </w:r>
      <w:r>
        <w:t xml:space="preserve"> which authorizes releases in asbestos cases when specified</w:t>
      </w:r>
      <w:r w:rsidR="006B40E3">
        <w:t xml:space="preserve"> </w:t>
      </w:r>
      <w:r>
        <w:t>conditions are satisfied</w:t>
      </w:r>
      <w:r w:rsidR="008B54D4">
        <w:t>,</w:t>
      </w:r>
      <w:r>
        <w:t xml:space="preserve"> including the creation of a trust to satisfy future claims </w:t>
      </w:r>
      <w:r w:rsidR="006A227C">
        <w:t xml:space="preserve">. . </w:t>
      </w:r>
      <w:r>
        <w:t>.</w:t>
      </w:r>
    </w:p>
    <w:p w14:paraId="098C49D4" w14:textId="404F4FE2" w:rsidR="00A77BBD" w:rsidRDefault="00A77BBD" w:rsidP="006B40E3">
      <w:pPr>
        <w:pStyle w:val="BodyTextFirstIndent"/>
        <w:ind w:firstLine="0"/>
      </w:pPr>
      <w:r>
        <w:rPr>
          <w:i/>
          <w:iCs/>
        </w:rPr>
        <w:t>Metromedia Fiber Network</w:t>
      </w:r>
      <w:r w:rsidR="008B54D4">
        <w:rPr>
          <w:i/>
          <w:iCs/>
        </w:rPr>
        <w:t>,</w:t>
      </w:r>
      <w:r>
        <w:rPr>
          <w:i/>
          <w:iCs/>
        </w:rPr>
        <w:t xml:space="preserve"> Inc</w:t>
      </w:r>
      <w:r>
        <w:t>.</w:t>
      </w:r>
      <w:r w:rsidR="008B54D4">
        <w:t>,</w:t>
      </w:r>
      <w:r>
        <w:t xml:space="preserve"> </w:t>
      </w:r>
      <w:hyperlink r:id="rId173" w:history="1">
        <w:r>
          <w:t>416 F.3d at 142</w:t>
        </w:r>
      </w:hyperlink>
      <w:r w:rsidR="006A227C">
        <w:t xml:space="preserve">.  </w:t>
      </w:r>
      <w:r>
        <w:t xml:space="preserve">And </w:t>
      </w:r>
      <w:r w:rsidR="00C63F21">
        <w:t xml:space="preserve">we </w:t>
      </w:r>
      <w:r>
        <w:t>held</w:t>
      </w:r>
      <w:r w:rsidR="008B54D4">
        <w:t>,</w:t>
      </w:r>
      <w:r>
        <w:t xml:space="preserve"> consistent with </w:t>
      </w:r>
      <w:r>
        <w:rPr>
          <w:i/>
          <w:iCs/>
        </w:rPr>
        <w:t>In re Dairy Mart</w:t>
      </w:r>
      <w:r w:rsidR="008B54D4">
        <w:t>,</w:t>
      </w:r>
      <w:r w:rsidR="006B40E3">
        <w:t xml:space="preserve"> </w:t>
      </w:r>
      <w:r>
        <w:rPr>
          <w:color w:val="000000"/>
        </w:rPr>
        <w:t>that Section 105(a) of the Bankruptcy Code did not authorize the approval of such releases:</w:t>
      </w:r>
    </w:p>
    <w:p w14:paraId="65F8F2C6" w14:textId="75BF5796" w:rsidR="00A77BBD" w:rsidRDefault="00A77BBD" w:rsidP="006B40E3">
      <w:pPr>
        <w:pStyle w:val="BlockText"/>
      </w:pPr>
      <w:r>
        <w:t>True</w:t>
      </w:r>
      <w:r w:rsidR="008B54D4">
        <w:t>,</w:t>
      </w:r>
      <w:r>
        <w:t xml:space="preserve"> </w:t>
      </w:r>
      <w:hyperlink r:id="rId174" w:history="1">
        <w:r>
          <w:t xml:space="preserve">11 </w:t>
        </w:r>
        <w:r w:rsidR="00522B24">
          <w:t xml:space="preserve">U.S.C. </w:t>
        </w:r>
        <w:r>
          <w:t>§ 105(a)</w:t>
        </w:r>
      </w:hyperlink>
      <w:r>
        <w:t xml:space="preserve"> authorizes the bankruptcy court to “issue any order</w:t>
      </w:r>
      <w:r w:rsidR="008B54D4">
        <w:t>,</w:t>
      </w:r>
      <w:r>
        <w:t xml:space="preserve"> process</w:t>
      </w:r>
      <w:r w:rsidR="008B54D4">
        <w:t>,</w:t>
      </w:r>
      <w:r>
        <w:t xml:space="preserve"> or judgment that is necessary or appropriate to carry out the provisions of [the Bankruptcy Code]”; but section 105(a) does not allow the bankruptcy court “to create substantive rights that are otherwise unavailable under applicable law</w:t>
      </w:r>
      <w:r w:rsidR="00FA79C1">
        <w:t xml:space="preserve">.”  </w:t>
      </w:r>
      <w:r>
        <w:rPr>
          <w:i/>
          <w:iCs/>
        </w:rPr>
        <w:t>New England Dairies</w:t>
      </w:r>
      <w:r w:rsidR="008B54D4">
        <w:rPr>
          <w:i/>
          <w:iCs/>
        </w:rPr>
        <w:t>,</w:t>
      </w:r>
      <w:r>
        <w:rPr>
          <w:i/>
          <w:iCs/>
        </w:rPr>
        <w:t xml:space="preserve"> Inc</w:t>
      </w:r>
      <w:r w:rsidR="006A227C">
        <w:rPr>
          <w:i/>
          <w:iCs/>
        </w:rPr>
        <w:t xml:space="preserve">. </w:t>
      </w:r>
      <w:r w:rsidR="00E150C1">
        <w:rPr>
          <w:i/>
          <w:iCs/>
        </w:rPr>
        <w:t xml:space="preserve">v. </w:t>
      </w:r>
      <w:r>
        <w:rPr>
          <w:i/>
          <w:iCs/>
        </w:rPr>
        <w:t>Dairy Mart Convenience Stores</w:t>
      </w:r>
      <w:r w:rsidR="008B54D4">
        <w:rPr>
          <w:i/>
          <w:iCs/>
        </w:rPr>
        <w:t>,</w:t>
      </w:r>
      <w:r>
        <w:rPr>
          <w:i/>
          <w:iCs/>
        </w:rPr>
        <w:t xml:space="preserve"> Inc</w:t>
      </w:r>
      <w:r w:rsidR="006A227C">
        <w:rPr>
          <w:i/>
          <w:iCs/>
        </w:rPr>
        <w:t xml:space="preserve">. </w:t>
      </w:r>
      <w:r>
        <w:rPr>
          <w:i/>
          <w:iCs/>
        </w:rPr>
        <w:t>(In re Dairy Mart Convenience Stores</w:t>
      </w:r>
      <w:r w:rsidR="008B54D4">
        <w:rPr>
          <w:i/>
          <w:iCs/>
        </w:rPr>
        <w:t>,</w:t>
      </w:r>
      <w:r>
        <w:rPr>
          <w:i/>
          <w:iCs/>
        </w:rPr>
        <w:t xml:space="preserve"> Inc.)</w:t>
      </w:r>
      <w:r w:rsidR="008B54D4" w:rsidRPr="006B40E3">
        <w:t>,</w:t>
      </w:r>
      <w:hyperlink r:id="rId175" w:history="1">
        <w:r>
          <w:t xml:space="preserve"> 351 F.3d 86</w:t>
        </w:r>
        <w:r w:rsidR="008B54D4">
          <w:t>,</w:t>
        </w:r>
        <w:r>
          <w:t xml:space="preserve"> 92 </w:t>
        </w:r>
      </w:hyperlink>
      <w:r>
        <w:t>(2d Cir.2003) (quotations and citation omitted)</w:t>
      </w:r>
      <w:r w:rsidR="006A227C">
        <w:t xml:space="preserve">.  </w:t>
      </w:r>
      <w:r>
        <w:t>Any “power that a judge enjoys under § 105 must derive ultimately from some other provision of the Bankruptcy Code</w:t>
      </w:r>
      <w:r w:rsidR="00FA79C1">
        <w:t xml:space="preserve">.”  </w:t>
      </w:r>
      <w:r>
        <w:t>Douglas G</w:t>
      </w:r>
      <w:r w:rsidR="006A227C">
        <w:t xml:space="preserve">.  </w:t>
      </w:r>
      <w:r>
        <w:t>Baird</w:t>
      </w:r>
      <w:r w:rsidR="008B54D4">
        <w:t>,</w:t>
      </w:r>
      <w:r>
        <w:t xml:space="preserve"> Elements of Bankruptcy 6 (3d ed.2001); accord </w:t>
      </w:r>
      <w:r>
        <w:rPr>
          <w:i/>
          <w:iCs/>
        </w:rPr>
        <w:t>Dairy Mart</w:t>
      </w:r>
      <w:r w:rsidR="008B54D4">
        <w:t>,</w:t>
      </w:r>
      <w:r>
        <w:t xml:space="preserve"> </w:t>
      </w:r>
      <w:hyperlink r:id="rId176" w:history="1">
        <w:r>
          <w:t>351 F.3d at 92</w:t>
        </w:r>
      </w:hyperlink>
      <w:r>
        <w:t xml:space="preserve"> (“Because no provision of the Bankruptcy Code may be successfully invoked in this case</w:t>
      </w:r>
      <w:r w:rsidR="008B54D4">
        <w:t>,</w:t>
      </w:r>
      <w:r>
        <w:t xml:space="preserve"> section 105(a) affords [appellant] no independent relief.”).</w:t>
      </w:r>
    </w:p>
    <w:p w14:paraId="1A868EF1" w14:textId="21103C48" w:rsidR="00A77BBD" w:rsidRDefault="00A77BBD" w:rsidP="006B40E3">
      <w:pPr>
        <w:pStyle w:val="BodyTextFirstIndent"/>
        <w:ind w:firstLine="0"/>
      </w:pPr>
      <w:r>
        <w:rPr>
          <w:i/>
          <w:iCs/>
          <w:color w:val="000000"/>
        </w:rPr>
        <w:t>Metromedia</w:t>
      </w:r>
      <w:r w:rsidR="008B54D4">
        <w:rPr>
          <w:color w:val="000000"/>
        </w:rPr>
        <w:t>,</w:t>
      </w:r>
      <w:r>
        <w:rPr>
          <w:color w:val="000000"/>
        </w:rPr>
        <w:t xml:space="preserve"> </w:t>
      </w:r>
      <w:hyperlink r:id="rId177" w:history="1">
        <w:r>
          <w:rPr>
            <w:color w:val="000000"/>
          </w:rPr>
          <w:t xml:space="preserve">416 </w:t>
        </w:r>
        <w:r w:rsidR="000F32DE">
          <w:rPr>
            <w:color w:val="000000"/>
          </w:rPr>
          <w:t>F.</w:t>
        </w:r>
        <w:r>
          <w:rPr>
            <w:color w:val="000000"/>
          </w:rPr>
          <w:t>3d at 142</w:t>
        </w:r>
      </w:hyperlink>
      <w:r>
        <w:rPr>
          <w:color w:val="000000"/>
        </w:rPr>
        <w:t>.</w:t>
      </w:r>
    </w:p>
    <w:p w14:paraId="37267471" w14:textId="0F9BE091" w:rsidR="00A77BBD" w:rsidRDefault="00A77BBD" w:rsidP="00A77BBD">
      <w:pPr>
        <w:pStyle w:val="BodyTextFirstIndent"/>
      </w:pPr>
      <w:r>
        <w:rPr>
          <w:color w:val="000000"/>
        </w:rPr>
        <w:t>The panel also cautioned that courts should be careful about approving a non-consensual non-debtor release because the device “lends itself to abuse</w:t>
      </w:r>
      <w:r w:rsidR="00FA79C1">
        <w:rPr>
          <w:color w:val="000000"/>
        </w:rPr>
        <w:t xml:space="preserve">.”  </w:t>
      </w:r>
      <w:r w:rsidR="00FD7892">
        <w:rPr>
          <w:i/>
          <w:iCs/>
          <w:color w:val="000000"/>
        </w:rPr>
        <w:t>Id.</w:t>
      </w:r>
      <w:r w:rsidR="006B40E3">
        <w:rPr>
          <w:i/>
          <w:iCs/>
          <w:color w:val="000000"/>
        </w:rPr>
        <w:t xml:space="preserve"> </w:t>
      </w:r>
      <w:r w:rsidR="00FD7892">
        <w:rPr>
          <w:i/>
          <w:iCs/>
          <w:color w:val="000000"/>
        </w:rPr>
        <w:t xml:space="preserve"> </w:t>
      </w:r>
      <w:r>
        <w:rPr>
          <w:color w:val="000000"/>
        </w:rPr>
        <w:t>One particular form of abuse identified by the panel manifests when the release</w:t>
      </w:r>
      <w:r w:rsidR="008B54D4">
        <w:rPr>
          <w:color w:val="000000"/>
        </w:rPr>
        <w:t>,</w:t>
      </w:r>
      <w:r>
        <w:rPr>
          <w:color w:val="000000"/>
        </w:rPr>
        <w:t xml:space="preserve"> in effect</w:t>
      </w:r>
      <w:r w:rsidR="008B54D4">
        <w:rPr>
          <w:color w:val="000000"/>
        </w:rPr>
        <w:t>,</w:t>
      </w:r>
      <w:r>
        <w:rPr>
          <w:color w:val="000000"/>
        </w:rPr>
        <w:t xml:space="preserve"> “operate[s] as a bankruptcy discharge arrange without a filing and without the safeguards of the Bankruptcy Code</w:t>
      </w:r>
      <w:r w:rsidR="00FA79C1">
        <w:rPr>
          <w:color w:val="000000"/>
        </w:rPr>
        <w:t xml:space="preserve">.”  </w:t>
      </w:r>
      <w:r w:rsidR="00FD7892">
        <w:rPr>
          <w:i/>
          <w:iCs/>
          <w:color w:val="000000"/>
        </w:rPr>
        <w:t>Id.</w:t>
      </w:r>
      <w:r w:rsidR="006B40E3">
        <w:rPr>
          <w:i/>
          <w:iCs/>
          <w:color w:val="000000"/>
        </w:rPr>
        <w:t xml:space="preserve"> </w:t>
      </w:r>
      <w:r w:rsidR="00FD7892">
        <w:rPr>
          <w:i/>
          <w:iCs/>
          <w:color w:val="000000"/>
        </w:rPr>
        <w:t xml:space="preserve"> </w:t>
      </w:r>
      <w:r>
        <w:rPr>
          <w:color w:val="000000"/>
        </w:rPr>
        <w:t>Indeed</w:t>
      </w:r>
      <w:r w:rsidR="008B54D4">
        <w:rPr>
          <w:color w:val="000000"/>
        </w:rPr>
        <w:t>,</w:t>
      </w:r>
      <w:r>
        <w:rPr>
          <w:color w:val="000000"/>
        </w:rPr>
        <w:t xml:space="preserve"> “</w:t>
      </w:r>
      <w:r w:rsidR="00C63F21">
        <w:rPr>
          <w:color w:val="000000"/>
        </w:rPr>
        <w:t>[t]</w:t>
      </w:r>
      <w:r>
        <w:rPr>
          <w:color w:val="000000"/>
        </w:rPr>
        <w:t>he potential for abuse is heightened when releases afford blanket immunity</w:t>
      </w:r>
      <w:r w:rsidR="00FA79C1">
        <w:rPr>
          <w:color w:val="000000"/>
        </w:rPr>
        <w:t xml:space="preserve">.”  </w:t>
      </w:r>
      <w:r>
        <w:rPr>
          <w:i/>
          <w:iCs/>
          <w:color w:val="000000"/>
        </w:rPr>
        <w:t>Id</w:t>
      </w:r>
      <w:r>
        <w:rPr>
          <w:color w:val="000000"/>
        </w:rPr>
        <w:t>.</w:t>
      </w:r>
    </w:p>
    <w:p w14:paraId="594DD210" w14:textId="197ADD25" w:rsidR="00A77BBD" w:rsidRDefault="00A77BBD" w:rsidP="00A77BBD">
      <w:pPr>
        <w:pStyle w:val="BodyTextFirstIndent"/>
      </w:pPr>
      <w:r>
        <w:rPr>
          <w:color w:val="000000"/>
        </w:rPr>
        <w:t>After observing that</w:t>
      </w:r>
      <w:r w:rsidR="008B54D4">
        <w:rPr>
          <w:color w:val="000000"/>
        </w:rPr>
        <w:t>,</w:t>
      </w:r>
      <w:r>
        <w:rPr>
          <w:color w:val="000000"/>
        </w:rPr>
        <w:t xml:space="preserve"> “</w:t>
      </w:r>
      <w:r w:rsidR="00C63F21">
        <w:rPr>
          <w:color w:val="000000"/>
        </w:rPr>
        <w:t>[n]</w:t>
      </w:r>
      <w:r>
        <w:rPr>
          <w:color w:val="000000"/>
        </w:rPr>
        <w:t>o case has tolerated nondebtor releases absent a finding of circumstances that may be characterized as unique</w:t>
      </w:r>
      <w:r w:rsidR="00FA79C1">
        <w:rPr>
          <w:color w:val="000000"/>
        </w:rPr>
        <w:t xml:space="preserve">.”  </w:t>
      </w:r>
      <w:r w:rsidR="00FD7892">
        <w:rPr>
          <w:i/>
          <w:iCs/>
          <w:color w:val="000000"/>
        </w:rPr>
        <w:t>Id.</w:t>
      </w:r>
      <w:r w:rsidR="008B54D4">
        <w:rPr>
          <w:color w:val="000000"/>
        </w:rPr>
        <w:t>,</w:t>
      </w:r>
      <w:r>
        <w:rPr>
          <w:color w:val="000000"/>
        </w:rPr>
        <w:t xml:space="preserve"> the panel listed circumstances in which such releases had been authorized in the past</w:t>
      </w:r>
      <w:r w:rsidR="008B54D4">
        <w:rPr>
          <w:color w:val="000000"/>
        </w:rPr>
        <w:t>,</w:t>
      </w:r>
      <w:r>
        <w:rPr>
          <w:color w:val="000000"/>
        </w:rPr>
        <w:t xml:space="preserve"> and identified factors that a court should consider when evaluating such releases in the future:  (1) the release is important to the plan</w:t>
      </w:r>
      <w:r w:rsidR="008B54D4">
        <w:rPr>
          <w:color w:val="000000"/>
        </w:rPr>
        <w:t>,</w:t>
      </w:r>
      <w:r>
        <w:rPr>
          <w:color w:val="000000"/>
        </w:rPr>
        <w:t xml:space="preserve"> (2) the enjoined claims would be channeled to a settlement fund rather than extinguished</w:t>
      </w:r>
      <w:r w:rsidR="008B54D4">
        <w:rPr>
          <w:color w:val="000000"/>
        </w:rPr>
        <w:t>,</w:t>
      </w:r>
      <w:r>
        <w:rPr>
          <w:color w:val="000000"/>
        </w:rPr>
        <w:t xml:space="preserve"> (3)</w:t>
      </w:r>
      <w:r w:rsidR="006B40E3">
        <w:rPr>
          <w:color w:val="000000"/>
        </w:rPr>
        <w:t> </w:t>
      </w:r>
      <w:r>
        <w:rPr>
          <w:color w:val="000000"/>
        </w:rPr>
        <w:t>the estate receives substantial consideration in return</w:t>
      </w:r>
      <w:r w:rsidR="008B54D4">
        <w:rPr>
          <w:color w:val="000000"/>
        </w:rPr>
        <w:t>,</w:t>
      </w:r>
      <w:r>
        <w:rPr>
          <w:color w:val="000000"/>
        </w:rPr>
        <w:t xml:space="preserve"> (4) the released claims would otherwise indirectly impact the debtors</w:t>
      </w:r>
      <w:r w:rsidR="008B54D4">
        <w:rPr>
          <w:color w:val="000000"/>
        </w:rPr>
        <w:t>’</w:t>
      </w:r>
      <w:r>
        <w:rPr>
          <w:color w:val="000000"/>
        </w:rPr>
        <w:t xml:space="preserve"> reorganization by way of indemnity or contribution</w:t>
      </w:r>
      <w:r w:rsidR="008B54D4">
        <w:rPr>
          <w:color w:val="000000"/>
        </w:rPr>
        <w:t>,</w:t>
      </w:r>
      <w:r>
        <w:rPr>
          <w:color w:val="000000"/>
        </w:rPr>
        <w:t xml:space="preserve"> and (5) the plan otherwise provided for the full payment of the enjoined claims</w:t>
      </w:r>
      <w:r w:rsidR="006A227C">
        <w:rPr>
          <w:color w:val="000000"/>
        </w:rPr>
        <w:t xml:space="preserve">.  </w:t>
      </w:r>
      <w:r w:rsidR="00FD7892">
        <w:rPr>
          <w:i/>
          <w:iCs/>
          <w:color w:val="000000"/>
        </w:rPr>
        <w:t xml:space="preserve">Id. </w:t>
      </w:r>
      <w:r>
        <w:rPr>
          <w:color w:val="000000"/>
        </w:rPr>
        <w:t>at 141-42</w:t>
      </w:r>
      <w:r w:rsidR="006A227C">
        <w:rPr>
          <w:color w:val="000000"/>
        </w:rPr>
        <w:t xml:space="preserve">.  </w:t>
      </w:r>
      <w:r>
        <w:rPr>
          <w:color w:val="000000"/>
        </w:rPr>
        <w:t>However</w:t>
      </w:r>
      <w:r w:rsidR="008B54D4">
        <w:rPr>
          <w:color w:val="000000"/>
        </w:rPr>
        <w:t>,</w:t>
      </w:r>
      <w:r>
        <w:rPr>
          <w:color w:val="000000"/>
        </w:rPr>
        <w:t xml:space="preserve"> </w:t>
      </w:r>
      <w:r w:rsidR="00C63F21">
        <w:rPr>
          <w:color w:val="000000"/>
        </w:rPr>
        <w:t>we</w:t>
      </w:r>
      <w:r>
        <w:rPr>
          <w:color w:val="000000"/>
        </w:rPr>
        <w:t xml:space="preserve"> insisted that the ultimate decision about whether to authorize such releases was “not a matter of factors and prongs</w:t>
      </w:r>
      <w:r w:rsidR="00FA79C1">
        <w:rPr>
          <w:color w:val="000000"/>
        </w:rPr>
        <w:t xml:space="preserve">.”  </w:t>
      </w:r>
      <w:r w:rsidR="00FD7892">
        <w:rPr>
          <w:i/>
          <w:iCs/>
          <w:color w:val="000000"/>
        </w:rPr>
        <w:t xml:space="preserve">Id. </w:t>
      </w:r>
      <w:r>
        <w:rPr>
          <w:color w:val="000000"/>
        </w:rPr>
        <w:t>142.</w:t>
      </w:r>
    </w:p>
    <w:p w14:paraId="1980A6CD" w14:textId="439046E9" w:rsidR="00A77BBD" w:rsidRDefault="00A77BBD" w:rsidP="00A77BBD">
      <w:pPr>
        <w:pStyle w:val="BodyTextFirstIndent"/>
      </w:pPr>
      <w:r>
        <w:rPr>
          <w:color w:val="000000"/>
        </w:rPr>
        <w:t>Having said all that</w:t>
      </w:r>
      <w:r w:rsidR="008B54D4">
        <w:rPr>
          <w:color w:val="000000"/>
        </w:rPr>
        <w:t>,</w:t>
      </w:r>
      <w:r>
        <w:rPr>
          <w:color w:val="000000"/>
        </w:rPr>
        <w:t xml:space="preserve"> the </w:t>
      </w:r>
      <w:r>
        <w:rPr>
          <w:i/>
          <w:iCs/>
          <w:color w:val="000000"/>
        </w:rPr>
        <w:t>Metromedia</w:t>
      </w:r>
      <w:r>
        <w:rPr>
          <w:color w:val="000000"/>
        </w:rPr>
        <w:t xml:space="preserve"> </w:t>
      </w:r>
      <w:r w:rsidR="00C63F21">
        <w:rPr>
          <w:color w:val="000000"/>
        </w:rPr>
        <w:t>C</w:t>
      </w:r>
      <w:r>
        <w:rPr>
          <w:color w:val="000000"/>
        </w:rPr>
        <w:t>ourt did not rule on whether any or all of the factors it had identified were satisfied in the particular case before it</w:t>
      </w:r>
      <w:r w:rsidR="006A227C">
        <w:rPr>
          <w:color w:val="000000"/>
        </w:rPr>
        <w:t xml:space="preserve">.  </w:t>
      </w:r>
      <w:r>
        <w:rPr>
          <w:color w:val="000000"/>
        </w:rPr>
        <w:t>Nor did it conclude that a non-debtor release should be approved if the factors were satisfied</w:t>
      </w:r>
      <w:r w:rsidR="008B54D4">
        <w:rPr>
          <w:color w:val="000000"/>
        </w:rPr>
        <w:t>,</w:t>
      </w:r>
      <w:r>
        <w:rPr>
          <w:color w:val="000000"/>
        </w:rPr>
        <w:t xml:space="preserve"> or consider whether</w:t>
      </w:r>
      <w:r w:rsidR="008B54D4">
        <w:rPr>
          <w:color w:val="000000"/>
        </w:rPr>
        <w:t>,</w:t>
      </w:r>
      <w:r>
        <w:rPr>
          <w:color w:val="000000"/>
        </w:rPr>
        <w:t xml:space="preserve"> in the case before it</w:t>
      </w:r>
      <w:r w:rsidR="008B54D4">
        <w:rPr>
          <w:color w:val="000000"/>
        </w:rPr>
        <w:t>,</w:t>
      </w:r>
      <w:r>
        <w:rPr>
          <w:color w:val="000000"/>
        </w:rPr>
        <w:t xml:space="preserve"> there might be other reasons why the proposed non-debtor releases should not be approved.</w:t>
      </w:r>
    </w:p>
    <w:p w14:paraId="778BCB07" w14:textId="71150947" w:rsidR="00A77BBD" w:rsidRDefault="00A77BBD" w:rsidP="00A77BBD">
      <w:pPr>
        <w:pStyle w:val="BodyTextFirstIndent"/>
      </w:pPr>
      <w:r>
        <w:rPr>
          <w:color w:val="000000"/>
        </w:rPr>
        <w:t>Instead</w:t>
      </w:r>
      <w:r w:rsidR="008B54D4">
        <w:rPr>
          <w:color w:val="000000"/>
        </w:rPr>
        <w:t>,</w:t>
      </w:r>
      <w:r>
        <w:rPr>
          <w:color w:val="000000"/>
        </w:rPr>
        <w:t xml:space="preserve"> as noted above</w:t>
      </w:r>
      <w:r w:rsidR="008B54D4">
        <w:rPr>
          <w:color w:val="000000"/>
        </w:rPr>
        <w:t>,</w:t>
      </w:r>
      <w:r>
        <w:rPr>
          <w:color w:val="000000"/>
        </w:rPr>
        <w:t xml:space="preserve"> </w:t>
      </w:r>
      <w:r w:rsidR="00C63F21">
        <w:rPr>
          <w:color w:val="000000"/>
        </w:rPr>
        <w:t>we</w:t>
      </w:r>
      <w:r>
        <w:rPr>
          <w:color w:val="000000"/>
        </w:rPr>
        <w:t xml:space="preserve"> vacated approval of the plan and declined to remand for further consideration because the matter had become equitably moot</w:t>
      </w:r>
      <w:r w:rsidR="00C63F21">
        <w:rPr>
          <w:color w:val="000000"/>
        </w:rPr>
        <w:t xml:space="preserve">, </w:t>
      </w:r>
      <w:r>
        <w:rPr>
          <w:color w:val="000000"/>
        </w:rPr>
        <w:t>thereby</w:t>
      </w:r>
      <w:r w:rsidR="00C63F21">
        <w:rPr>
          <w:color w:val="000000"/>
        </w:rPr>
        <w:t>,</w:t>
      </w:r>
      <w:r>
        <w:rPr>
          <w:color w:val="000000"/>
        </w:rPr>
        <w:t xml:space="preserve"> guaranteeing that those open questions - including the question about whether there was statutory authority for such releases - would not be answered.</w:t>
      </w:r>
    </w:p>
    <w:p w14:paraId="0CD542E4" w14:textId="2B1EE8BE" w:rsidR="00A77BBD" w:rsidRDefault="00A77BBD" w:rsidP="00A77BBD">
      <w:pPr>
        <w:pStyle w:val="BodyTextFirstIndent"/>
      </w:pPr>
      <w:r>
        <w:rPr>
          <w:color w:val="000000"/>
        </w:rPr>
        <w:t xml:space="preserve">No third-party releases were approved in </w:t>
      </w:r>
      <w:r>
        <w:rPr>
          <w:i/>
          <w:iCs/>
          <w:color w:val="000000"/>
        </w:rPr>
        <w:t>Metromedia</w:t>
      </w:r>
      <w:r w:rsidR="006A227C">
        <w:rPr>
          <w:i/>
          <w:iCs/>
          <w:color w:val="000000"/>
        </w:rPr>
        <w:t xml:space="preserve">.  </w:t>
      </w:r>
      <w:r>
        <w:rPr>
          <w:color w:val="000000"/>
        </w:rPr>
        <w:t>Th</w:t>
      </w:r>
      <w:r w:rsidR="00C63F21">
        <w:rPr>
          <w:color w:val="000000"/>
        </w:rPr>
        <w:t xml:space="preserve">is Court </w:t>
      </w:r>
      <w:r>
        <w:rPr>
          <w:color w:val="000000"/>
        </w:rPr>
        <w:t>did not conclude that such releases were consistent with or authorized by the Bankruptcy Code</w:t>
      </w:r>
      <w:r w:rsidR="006A227C">
        <w:rPr>
          <w:color w:val="000000"/>
        </w:rPr>
        <w:t xml:space="preserve">.  </w:t>
      </w:r>
      <w:r w:rsidR="0012716D">
        <w:rPr>
          <w:color w:val="000000"/>
        </w:rPr>
        <w:t xml:space="preserve">We </w:t>
      </w:r>
      <w:r>
        <w:rPr>
          <w:color w:val="000000"/>
        </w:rPr>
        <w:t xml:space="preserve">did not conclude that the </w:t>
      </w:r>
      <w:r w:rsidR="0012716D">
        <w:rPr>
          <w:i/>
          <w:iCs/>
          <w:color w:val="000000"/>
        </w:rPr>
        <w:t xml:space="preserve">Metromedia </w:t>
      </w:r>
      <w:r>
        <w:rPr>
          <w:color w:val="000000"/>
        </w:rPr>
        <w:t>case was one of the “unique” instances in which a court</w:t>
      </w:r>
      <w:r w:rsidR="008B54D4">
        <w:rPr>
          <w:color w:val="000000"/>
        </w:rPr>
        <w:t>’</w:t>
      </w:r>
      <w:r>
        <w:rPr>
          <w:color w:val="000000"/>
        </w:rPr>
        <w:t>s reluctance to approve such releases might (assuming they were authorized) be overcome</w:t>
      </w:r>
      <w:r w:rsidR="006A227C">
        <w:rPr>
          <w:color w:val="000000"/>
        </w:rPr>
        <w:t xml:space="preserve">.  </w:t>
      </w:r>
      <w:r>
        <w:rPr>
          <w:color w:val="000000"/>
        </w:rPr>
        <w:t xml:space="preserve">And </w:t>
      </w:r>
      <w:r w:rsidR="0012716D">
        <w:rPr>
          <w:color w:val="000000"/>
        </w:rPr>
        <w:t>we</w:t>
      </w:r>
      <w:r w:rsidR="001D0B25">
        <w:rPr>
          <w:color w:val="000000"/>
        </w:rPr>
        <w:t xml:space="preserve"> </w:t>
      </w:r>
      <w:r>
        <w:rPr>
          <w:color w:val="000000"/>
        </w:rPr>
        <w:t>did not decide whether the Kluge releases measured up to the level that might justify approving them if the case qualified as “unique</w:t>
      </w:r>
      <w:r w:rsidR="00FA79C1">
        <w:rPr>
          <w:color w:val="000000"/>
        </w:rPr>
        <w:t xml:space="preserve">.”  </w:t>
      </w:r>
      <w:r>
        <w:rPr>
          <w:i/>
          <w:iCs/>
          <w:color w:val="000000"/>
        </w:rPr>
        <w:t>In re Metromedia Fiber Network</w:t>
      </w:r>
      <w:r w:rsidR="008B54D4">
        <w:rPr>
          <w:color w:val="000000"/>
        </w:rPr>
        <w:t>,</w:t>
      </w:r>
      <w:r>
        <w:rPr>
          <w:color w:val="000000"/>
        </w:rPr>
        <w:t xml:space="preserve"> </w:t>
      </w:r>
      <w:hyperlink r:id="rId178" w:history="1">
        <w:r>
          <w:rPr>
            <w:color w:val="000000"/>
          </w:rPr>
          <w:t>416 F.3d at</w:t>
        </w:r>
      </w:hyperlink>
      <w:r w:rsidR="006B40E3">
        <w:rPr>
          <w:color w:val="000000"/>
        </w:rPr>
        <w:t xml:space="preserve"> </w:t>
      </w:r>
      <w:hyperlink r:id="rId179" w:history="1">
        <w:r>
          <w:rPr>
            <w:color w:val="000000"/>
          </w:rPr>
          <w:t>142</w:t>
        </w:r>
      </w:hyperlink>
      <w:r>
        <w:rPr>
          <w:color w:val="000000"/>
        </w:rPr>
        <w:t>-143.</w:t>
      </w:r>
    </w:p>
    <w:p w14:paraId="6C73E351" w14:textId="2C8353EF" w:rsidR="00A77BBD" w:rsidRDefault="00A77BBD" w:rsidP="00A77BBD">
      <w:pPr>
        <w:pStyle w:val="BodyTextFirstIndent"/>
      </w:pPr>
      <w:r>
        <w:rPr>
          <w:color w:val="000000"/>
        </w:rPr>
        <w:t>In other words</w:t>
      </w:r>
      <w:r w:rsidR="008B54D4">
        <w:rPr>
          <w:color w:val="000000"/>
        </w:rPr>
        <w:t>,</w:t>
      </w:r>
      <w:r>
        <w:rPr>
          <w:color w:val="000000"/>
        </w:rPr>
        <w:t xml:space="preserve"> while </w:t>
      </w:r>
      <w:r>
        <w:rPr>
          <w:i/>
          <w:iCs/>
          <w:color w:val="000000"/>
        </w:rPr>
        <w:t>Metromedia</w:t>
      </w:r>
      <w:r>
        <w:rPr>
          <w:color w:val="000000"/>
        </w:rPr>
        <w:t xml:space="preserve"> said a great deal</w:t>
      </w:r>
      <w:r w:rsidR="008B54D4">
        <w:rPr>
          <w:color w:val="000000"/>
        </w:rPr>
        <w:t>,</w:t>
      </w:r>
      <w:r>
        <w:rPr>
          <w:color w:val="000000"/>
        </w:rPr>
        <w:t xml:space="preserve"> the case did not hold much of anything.</w:t>
      </w:r>
      <w:r>
        <w:rPr>
          <w:rStyle w:val="FootnoteReference"/>
          <w:rFonts w:eastAsia="Times New Roman" w:cs="Times New Roman"/>
          <w:color w:val="000000"/>
          <w:vertAlign w:val="superscript"/>
        </w:rPr>
        <w:footnoteReference w:id="37"/>
      </w:r>
      <w:r>
        <w:rPr>
          <w:color w:val="000000"/>
        </w:rPr>
        <w:t xml:space="preserve"> </w:t>
      </w:r>
      <w:r w:rsidR="006B40E3">
        <w:rPr>
          <w:color w:val="000000"/>
        </w:rPr>
        <w:t xml:space="preserve"> </w:t>
      </w:r>
      <w:r>
        <w:rPr>
          <w:color w:val="000000"/>
        </w:rPr>
        <w:t>Its relevance</w:t>
      </w:r>
      <w:r w:rsidR="008B54D4">
        <w:rPr>
          <w:color w:val="000000"/>
        </w:rPr>
        <w:t>,</w:t>
      </w:r>
      <w:r>
        <w:rPr>
          <w:color w:val="000000"/>
        </w:rPr>
        <w:t xml:space="preserve"> for present purposes</w:t>
      </w:r>
      <w:r w:rsidR="008B54D4">
        <w:rPr>
          <w:color w:val="000000"/>
        </w:rPr>
        <w:t>,</w:t>
      </w:r>
      <w:r>
        <w:rPr>
          <w:color w:val="000000"/>
        </w:rPr>
        <w:t xml:space="preserve"> is that Judge Jacobs cautioned that statutory authority for non-consensual non-debtor releases outside of the asbestos context was at best uncertain - and then disposed of the case on other grounds</w:t>
      </w:r>
      <w:r w:rsidR="008B54D4">
        <w:rPr>
          <w:color w:val="000000"/>
        </w:rPr>
        <w:t>,</w:t>
      </w:r>
      <w:r>
        <w:rPr>
          <w:color w:val="000000"/>
        </w:rPr>
        <w:t xml:space="preserve"> without identifying what section or sections of the Bankruptcy Code might actually authorize such relief in non-asbestos bankruptcy.</w:t>
      </w:r>
      <w:r>
        <w:rPr>
          <w:rStyle w:val="FootnoteReference"/>
          <w:rFonts w:eastAsia="Times New Roman" w:cs="Times New Roman"/>
          <w:color w:val="000000"/>
          <w:vertAlign w:val="superscript"/>
        </w:rPr>
        <w:footnoteReference w:id="38"/>
      </w:r>
    </w:p>
    <w:p w14:paraId="34E486FF" w14:textId="77777777" w:rsidR="00A77BBD" w:rsidRDefault="00A77BBD" w:rsidP="00A77BBD">
      <w:pPr>
        <w:pStyle w:val="BodyTextFirstIndent"/>
      </w:pPr>
      <w:r>
        <w:rPr>
          <w:color w:val="000000"/>
        </w:rPr>
        <w:t>No subsequent Second Circuit case has filled in the blank.</w:t>
      </w:r>
    </w:p>
    <w:p w14:paraId="3E1BC61E" w14:textId="1A9D4B9E" w:rsidR="00A77BBD" w:rsidRDefault="00A77BBD" w:rsidP="00A77BBD">
      <w:pPr>
        <w:pStyle w:val="BodyTextFirstIndent"/>
      </w:pPr>
      <w:r>
        <w:rPr>
          <w:b/>
          <w:bCs/>
          <w:color w:val="000000"/>
          <w:u w:val="single"/>
        </w:rPr>
        <w:t>Manville III/IV and In re Quigley</w:t>
      </w:r>
      <w:r w:rsidR="007C171F">
        <w:rPr>
          <w:color w:val="000000"/>
        </w:rPr>
        <w:t>:</w:t>
      </w:r>
      <w:r w:rsidRPr="007C171F">
        <w:rPr>
          <w:rStyle w:val="FootnoteReference"/>
          <w:rFonts w:eastAsia="Times New Roman" w:cs="Times New Roman"/>
          <w:color w:val="000000"/>
          <w:sz w:val="22"/>
          <w:vertAlign w:val="superscript"/>
        </w:rPr>
        <w:footnoteReference w:id="39"/>
      </w:r>
      <w:r>
        <w:rPr>
          <w:color w:val="000000"/>
        </w:rPr>
        <w:t xml:space="preserve">  These were asbestos cases</w:t>
      </w:r>
      <w:r w:rsidR="008B54D4">
        <w:rPr>
          <w:color w:val="000000"/>
        </w:rPr>
        <w:t>,</w:t>
      </w:r>
      <w:r>
        <w:rPr>
          <w:color w:val="000000"/>
        </w:rPr>
        <w:t xml:space="preserve"> in which a court</w:t>
      </w:r>
      <w:r w:rsidR="008B54D4">
        <w:rPr>
          <w:color w:val="000000"/>
        </w:rPr>
        <w:t>’</w:t>
      </w:r>
      <w:r>
        <w:rPr>
          <w:color w:val="000000"/>
        </w:rPr>
        <w:t>s statutory authority to impose such non-debtor injunctions is undoubted</w:t>
      </w:r>
      <w:r w:rsidR="008B54D4">
        <w:rPr>
          <w:color w:val="000000"/>
        </w:rPr>
        <w:t>,</w:t>
      </w:r>
      <w:r>
        <w:rPr>
          <w:color w:val="000000"/>
        </w:rPr>
        <w:t xml:space="preserve"> as long as all the conditions listed in § 524(g) are met.</w:t>
      </w:r>
    </w:p>
    <w:p w14:paraId="4A8C52CD" w14:textId="095E865D" w:rsidR="00A77BBD" w:rsidRDefault="00A77BBD" w:rsidP="00A77BBD">
      <w:pPr>
        <w:pStyle w:val="BodyTextFirstIndent"/>
      </w:pPr>
      <w:r>
        <w:rPr>
          <w:color w:val="000000"/>
        </w:rPr>
        <w:t>As discussed above</w:t>
      </w:r>
      <w:r w:rsidR="008B54D4">
        <w:rPr>
          <w:color w:val="000000"/>
        </w:rPr>
        <w:t>,</w:t>
      </w:r>
      <w:r>
        <w:rPr>
          <w:color w:val="000000"/>
        </w:rPr>
        <w:t xml:space="preserve"> in </w:t>
      </w:r>
      <w:r>
        <w:rPr>
          <w:i/>
          <w:iCs/>
          <w:color w:val="000000"/>
        </w:rPr>
        <w:t>Manville III/IV</w:t>
      </w:r>
      <w:r w:rsidR="008B54D4">
        <w:rPr>
          <w:color w:val="000000"/>
        </w:rPr>
        <w:t>,</w:t>
      </w:r>
      <w:r>
        <w:rPr>
          <w:color w:val="000000"/>
        </w:rPr>
        <w:t xml:space="preserve"> </w:t>
      </w:r>
      <w:r w:rsidR="0012716D">
        <w:rPr>
          <w:color w:val="000000"/>
        </w:rPr>
        <w:t>we</w:t>
      </w:r>
      <w:r>
        <w:rPr>
          <w:color w:val="000000"/>
        </w:rPr>
        <w:t xml:space="preserve"> concluded that the bankruptcy court lacked subject matter jurisdiction over third party claims against Manville</w:t>
      </w:r>
      <w:r w:rsidR="008B54D4">
        <w:rPr>
          <w:color w:val="000000"/>
        </w:rPr>
        <w:t>’</w:t>
      </w:r>
      <w:r>
        <w:rPr>
          <w:color w:val="000000"/>
        </w:rPr>
        <w:t>s non-debtor insurer that arose out of an alleged independent duty owed by the insurer to those third parties</w:t>
      </w:r>
      <w:r w:rsidR="008B54D4">
        <w:rPr>
          <w:color w:val="000000"/>
        </w:rPr>
        <w:t>,</w:t>
      </w:r>
      <w:r>
        <w:rPr>
          <w:color w:val="000000"/>
        </w:rPr>
        <w:t xml:space="preserve"> rather than out of its contractual relationship as Manville</w:t>
      </w:r>
      <w:r w:rsidR="008B54D4">
        <w:rPr>
          <w:color w:val="000000"/>
        </w:rPr>
        <w:t>’</w:t>
      </w:r>
      <w:r>
        <w:rPr>
          <w:color w:val="000000"/>
        </w:rPr>
        <w:t>s insurer</w:t>
      </w:r>
      <w:r w:rsidR="006A227C">
        <w:rPr>
          <w:color w:val="000000"/>
        </w:rPr>
        <w:t xml:space="preserve">.  </w:t>
      </w:r>
      <w:r w:rsidR="0012716D">
        <w:rPr>
          <w:color w:val="000000"/>
        </w:rPr>
        <w:t>We</w:t>
      </w:r>
      <w:r>
        <w:rPr>
          <w:color w:val="000000"/>
        </w:rPr>
        <w:t xml:space="preserve"> did not discuss any issue of statutory authority.</w:t>
      </w:r>
    </w:p>
    <w:p w14:paraId="04515D84" w14:textId="4BD6FD84" w:rsidR="00A77BBD" w:rsidRDefault="00A77BBD" w:rsidP="00A77BBD">
      <w:pPr>
        <w:pStyle w:val="BodyTextFirstIndent"/>
      </w:pPr>
      <w:r>
        <w:rPr>
          <w:color w:val="000000"/>
        </w:rPr>
        <w:t xml:space="preserve">And in </w:t>
      </w:r>
      <w:r>
        <w:rPr>
          <w:i/>
          <w:iCs/>
          <w:color w:val="000000"/>
        </w:rPr>
        <w:t>Quigley</w:t>
      </w:r>
      <w:r w:rsidR="008B54D4">
        <w:rPr>
          <w:color w:val="000000"/>
        </w:rPr>
        <w:t>,</w:t>
      </w:r>
      <w:r>
        <w:rPr>
          <w:color w:val="000000"/>
        </w:rPr>
        <w:t xml:space="preserve"> th</w:t>
      </w:r>
      <w:r w:rsidR="0012716D">
        <w:rPr>
          <w:color w:val="000000"/>
        </w:rPr>
        <w:t>is</w:t>
      </w:r>
      <w:r>
        <w:rPr>
          <w:color w:val="000000"/>
        </w:rPr>
        <w:t xml:space="preserve"> C</w:t>
      </w:r>
      <w:r w:rsidR="0012716D">
        <w:rPr>
          <w:color w:val="000000"/>
        </w:rPr>
        <w:t>ourt</w:t>
      </w:r>
      <w:r>
        <w:rPr>
          <w:color w:val="000000"/>
        </w:rPr>
        <w:t xml:space="preserve"> held that certain claims against the debtor</w:t>
      </w:r>
      <w:r w:rsidR="008B54D4">
        <w:rPr>
          <w:color w:val="000000"/>
        </w:rPr>
        <w:t>’</w:t>
      </w:r>
      <w:r>
        <w:rPr>
          <w:color w:val="000000"/>
        </w:rPr>
        <w:t>s parent—claims based on the use of the parent</w:t>
      </w:r>
      <w:r w:rsidR="008B54D4">
        <w:rPr>
          <w:color w:val="000000"/>
        </w:rPr>
        <w:t>’</w:t>
      </w:r>
      <w:r>
        <w:rPr>
          <w:color w:val="000000"/>
        </w:rPr>
        <w:t>s name on the debtors</w:t>
      </w:r>
      <w:r w:rsidR="008B54D4">
        <w:rPr>
          <w:color w:val="000000"/>
        </w:rPr>
        <w:t>’</w:t>
      </w:r>
      <w:r>
        <w:rPr>
          <w:color w:val="000000"/>
        </w:rPr>
        <w:t xml:space="preserve"> asbestos products—could not be enjoined pursuant to § 524(g) because the alleged liability was not “by reason of” any of the four “statutory relationships” identified in that section</w:t>
      </w:r>
      <w:r w:rsidR="006A227C">
        <w:rPr>
          <w:color w:val="000000"/>
        </w:rPr>
        <w:t xml:space="preserve">.  </w:t>
      </w:r>
      <w:r>
        <w:rPr>
          <w:i/>
          <w:iCs/>
          <w:color w:val="000000"/>
        </w:rPr>
        <w:t>Quigley</w:t>
      </w:r>
      <w:r w:rsidR="008B54D4">
        <w:rPr>
          <w:color w:val="000000"/>
        </w:rPr>
        <w:t>,</w:t>
      </w:r>
      <w:hyperlink r:id="rId180" w:history="1">
        <w:r>
          <w:rPr>
            <w:color w:val="000000"/>
          </w:rPr>
          <w:t xml:space="preserve"> 676 F.3d at 49</w:t>
        </w:r>
      </w:hyperlink>
      <w:r w:rsidR="008B54D4">
        <w:rPr>
          <w:color w:val="000000"/>
        </w:rPr>
        <w:t>,</w:t>
      </w:r>
      <w:hyperlink r:id="rId181" w:history="1">
        <w:r>
          <w:rPr>
            <w:color w:val="000000"/>
          </w:rPr>
          <w:t xml:space="preserve"> 60-61</w:t>
        </w:r>
      </w:hyperlink>
      <w:r w:rsidR="006A227C">
        <w:rPr>
          <w:color w:val="000000"/>
        </w:rPr>
        <w:t xml:space="preserve">.  </w:t>
      </w:r>
      <w:r>
        <w:rPr>
          <w:color w:val="000000"/>
        </w:rPr>
        <w:t>Had the proposed injunction fallen within one of the express statutory relationships</w:t>
      </w:r>
      <w:r w:rsidR="008B54D4">
        <w:rPr>
          <w:color w:val="000000"/>
        </w:rPr>
        <w:t>,</w:t>
      </w:r>
      <w:r>
        <w:rPr>
          <w:color w:val="000000"/>
        </w:rPr>
        <w:t xml:space="preserve"> it would have been authorized because the case involved asbestos.</w:t>
      </w:r>
    </w:p>
    <w:p w14:paraId="407D38AA" w14:textId="6C6B4BFF" w:rsidR="00A77BBD" w:rsidRDefault="00A77BBD" w:rsidP="00A77BBD">
      <w:pPr>
        <w:pStyle w:val="BodyTextFirstIndent"/>
      </w:pPr>
      <w:r>
        <w:rPr>
          <w:b/>
          <w:bCs/>
          <w:color w:val="000000"/>
          <w:u w:val="single"/>
        </w:rPr>
        <w:t>Madoff</w:t>
      </w:r>
      <w:r w:rsidRPr="007C171F">
        <w:rPr>
          <w:color w:val="000000"/>
        </w:rPr>
        <w:t xml:space="preserve">:  </w:t>
      </w:r>
      <w:r>
        <w:rPr>
          <w:i/>
          <w:iCs/>
          <w:color w:val="000000"/>
        </w:rPr>
        <w:t>In re Bernard</w:t>
      </w:r>
      <w:r w:rsidR="009E353C">
        <w:rPr>
          <w:i/>
          <w:iCs/>
          <w:color w:val="000000"/>
        </w:rPr>
        <w:t xml:space="preserve"> </w:t>
      </w:r>
      <w:r>
        <w:rPr>
          <w:i/>
          <w:iCs/>
          <w:color w:val="000000"/>
        </w:rPr>
        <w:t>L</w:t>
      </w:r>
      <w:r w:rsidR="006A227C">
        <w:rPr>
          <w:i/>
          <w:iCs/>
          <w:color w:val="000000"/>
        </w:rPr>
        <w:t xml:space="preserve">. </w:t>
      </w:r>
      <w:r>
        <w:rPr>
          <w:i/>
          <w:iCs/>
          <w:color w:val="000000"/>
        </w:rPr>
        <w:t>Madoff Inv</w:t>
      </w:r>
      <w:r w:rsidR="006A227C">
        <w:rPr>
          <w:i/>
          <w:iCs/>
          <w:color w:val="000000"/>
        </w:rPr>
        <w:t xml:space="preserve">. </w:t>
      </w:r>
      <w:r>
        <w:rPr>
          <w:i/>
          <w:iCs/>
          <w:color w:val="000000"/>
        </w:rPr>
        <w:t>Securities LLC</w:t>
      </w:r>
      <w:r w:rsidR="008B54D4" w:rsidRPr="009E353C">
        <w:rPr>
          <w:color w:val="000000"/>
        </w:rPr>
        <w:t>,</w:t>
      </w:r>
      <w:hyperlink r:id="rId182" w:history="1">
        <w:r>
          <w:rPr>
            <w:color w:val="000000"/>
          </w:rPr>
          <w:t xml:space="preserve"> 740 F.3d 81 </w:t>
        </w:r>
      </w:hyperlink>
      <w:r>
        <w:rPr>
          <w:color w:val="000000"/>
        </w:rPr>
        <w:t xml:space="preserve">(2d </w:t>
      </w:r>
      <w:r w:rsidR="00E97455">
        <w:rPr>
          <w:color w:val="000000"/>
        </w:rPr>
        <w:t xml:space="preserve">Cir. </w:t>
      </w:r>
      <w:r>
        <w:rPr>
          <w:color w:val="000000"/>
        </w:rPr>
        <w:t>2014) involved a chapter 7 liquidation under the Securities Investor Protection Act (SIPA)</w:t>
      </w:r>
      <w:r w:rsidR="006A227C">
        <w:rPr>
          <w:color w:val="000000"/>
        </w:rPr>
        <w:t xml:space="preserve">.  </w:t>
      </w:r>
      <w:r>
        <w:rPr>
          <w:color w:val="000000"/>
        </w:rPr>
        <w:t>The debtor</w:t>
      </w:r>
      <w:r w:rsidR="008B54D4">
        <w:rPr>
          <w:color w:val="000000"/>
        </w:rPr>
        <w:t>,</w:t>
      </w:r>
      <w:r>
        <w:rPr>
          <w:color w:val="000000"/>
        </w:rPr>
        <w:t xml:space="preserve"> Bernie L</w:t>
      </w:r>
      <w:r w:rsidR="006A227C">
        <w:rPr>
          <w:color w:val="000000"/>
        </w:rPr>
        <w:t xml:space="preserve">. </w:t>
      </w:r>
      <w:r>
        <w:rPr>
          <w:color w:val="000000"/>
        </w:rPr>
        <w:t>Madoff Investment Securities (“BLMIS”)</w:t>
      </w:r>
      <w:r w:rsidR="008B54D4">
        <w:rPr>
          <w:color w:val="000000"/>
        </w:rPr>
        <w:t>,</w:t>
      </w:r>
      <w:r>
        <w:rPr>
          <w:color w:val="000000"/>
        </w:rPr>
        <w:t xml:space="preserve"> was an investment enterprise created to effect the Ponzi scheme of its principal</w:t>
      </w:r>
      <w:r w:rsidR="008B54D4">
        <w:rPr>
          <w:color w:val="000000"/>
        </w:rPr>
        <w:t>,</w:t>
      </w:r>
      <w:r>
        <w:rPr>
          <w:color w:val="000000"/>
        </w:rPr>
        <w:t xml:space="preserve"> Bernie Madoff</w:t>
      </w:r>
      <w:r w:rsidR="006A227C">
        <w:rPr>
          <w:color w:val="000000"/>
        </w:rPr>
        <w:t xml:space="preserve">.  </w:t>
      </w:r>
      <w:r>
        <w:rPr>
          <w:color w:val="000000"/>
        </w:rPr>
        <w:t>The bankruptcy estate settled its claims against the estate of Jeffry M</w:t>
      </w:r>
      <w:r w:rsidR="006A227C">
        <w:rPr>
          <w:color w:val="000000"/>
        </w:rPr>
        <w:t xml:space="preserve">. </w:t>
      </w:r>
      <w:r>
        <w:rPr>
          <w:color w:val="000000"/>
        </w:rPr>
        <w:t>Picower</w:t>
      </w:r>
      <w:r w:rsidR="008B54D4">
        <w:rPr>
          <w:color w:val="000000"/>
        </w:rPr>
        <w:t>,</w:t>
      </w:r>
      <w:r>
        <w:rPr>
          <w:color w:val="000000"/>
        </w:rPr>
        <w:t xml:space="preserve"> an alleged Madoff co-conspirator</w:t>
      </w:r>
      <w:r w:rsidR="008B54D4">
        <w:rPr>
          <w:color w:val="000000"/>
        </w:rPr>
        <w:t>,</w:t>
      </w:r>
      <w:r>
        <w:rPr>
          <w:color w:val="000000"/>
        </w:rPr>
        <w:t xml:space="preserve"> releasing its claims in exchange for a $5 billion dollar contribution to Madoff bankruptcy estate</w:t>
      </w:r>
      <w:r w:rsidR="006A227C">
        <w:rPr>
          <w:color w:val="000000"/>
        </w:rPr>
        <w:t xml:space="preserve">.  </w:t>
      </w:r>
      <w:r>
        <w:rPr>
          <w:color w:val="000000"/>
        </w:rPr>
        <w:t>In addition to approving that settlement and release</w:t>
      </w:r>
      <w:r w:rsidR="008B54D4">
        <w:rPr>
          <w:color w:val="000000"/>
        </w:rPr>
        <w:t>,</w:t>
      </w:r>
      <w:r>
        <w:rPr>
          <w:color w:val="000000"/>
        </w:rPr>
        <w:t xml:space="preserve"> the </w:t>
      </w:r>
      <w:r w:rsidR="0012716D">
        <w:rPr>
          <w:color w:val="000000"/>
        </w:rPr>
        <w:t>B</w:t>
      </w:r>
      <w:r>
        <w:rPr>
          <w:color w:val="000000"/>
        </w:rPr>
        <w:t xml:space="preserve">ankruptcy </w:t>
      </w:r>
      <w:r w:rsidR="0012716D">
        <w:rPr>
          <w:color w:val="000000"/>
        </w:rPr>
        <w:t>C</w:t>
      </w:r>
      <w:r>
        <w:rPr>
          <w:color w:val="000000"/>
        </w:rPr>
        <w:t>ourt permanently enjoined two of the debtor</w:t>
      </w:r>
      <w:r w:rsidR="008B54D4">
        <w:rPr>
          <w:color w:val="000000"/>
        </w:rPr>
        <w:t>’</w:t>
      </w:r>
      <w:r>
        <w:rPr>
          <w:color w:val="000000"/>
        </w:rPr>
        <w:t>s customers from pursuing putative state tort law class actions against the estate of Jeffry M</w:t>
      </w:r>
      <w:r w:rsidR="006A227C">
        <w:rPr>
          <w:color w:val="000000"/>
        </w:rPr>
        <w:t xml:space="preserve">. </w:t>
      </w:r>
      <w:r>
        <w:rPr>
          <w:color w:val="000000"/>
        </w:rPr>
        <w:t>Picower in the United States District Court for the Southern District of Florida</w:t>
      </w:r>
      <w:r w:rsidR="008B54D4">
        <w:rPr>
          <w:color w:val="000000"/>
        </w:rPr>
        <w:t>,</w:t>
      </w:r>
      <w:r>
        <w:rPr>
          <w:color w:val="000000"/>
        </w:rPr>
        <w:t xml:space="preserve"> to the extent those claims arose from or related to the Madoff Ponzi scheme.</w:t>
      </w:r>
    </w:p>
    <w:p w14:paraId="1EF3B5F0" w14:textId="7DA067DE" w:rsidR="00A77BBD" w:rsidRDefault="0012716D" w:rsidP="00A77BBD">
      <w:pPr>
        <w:pStyle w:val="BodyTextFirstIndent"/>
      </w:pPr>
      <w:r>
        <w:rPr>
          <w:color w:val="000000"/>
        </w:rPr>
        <w:t>We</w:t>
      </w:r>
      <w:r w:rsidR="00A77BBD">
        <w:rPr>
          <w:color w:val="000000"/>
        </w:rPr>
        <w:t xml:space="preserve"> affirmed the non-debtor injunction because the customer</w:t>
      </w:r>
      <w:r w:rsidR="008B54D4">
        <w:rPr>
          <w:color w:val="000000"/>
        </w:rPr>
        <w:t>’</w:t>
      </w:r>
      <w:r w:rsidR="00A77BBD">
        <w:rPr>
          <w:color w:val="000000"/>
        </w:rPr>
        <w:t>s complaints were predicated on secondary harms flowing from to them from BLMIS</w:t>
      </w:r>
      <w:r w:rsidR="008B54D4">
        <w:rPr>
          <w:color w:val="000000"/>
        </w:rPr>
        <w:t>,</w:t>
      </w:r>
      <w:r w:rsidR="00A77BBD">
        <w:rPr>
          <w:color w:val="000000"/>
        </w:rPr>
        <w:t xml:space="preserve"> and so were derivative claims that a bankruptcy court had power to discharge pursuant to Section 105(a)</w:t>
      </w:r>
      <w:r w:rsidR="006A227C">
        <w:rPr>
          <w:color w:val="000000"/>
        </w:rPr>
        <w:t xml:space="preserve">.  </w:t>
      </w:r>
      <w:r w:rsidR="00A77BBD">
        <w:rPr>
          <w:color w:val="000000"/>
        </w:rPr>
        <w:t xml:space="preserve">The </w:t>
      </w:r>
      <w:r w:rsidR="00A77BBD">
        <w:rPr>
          <w:i/>
          <w:iCs/>
          <w:color w:val="000000"/>
        </w:rPr>
        <w:t xml:space="preserve">Madoff </w:t>
      </w:r>
      <w:r w:rsidR="00A77BBD">
        <w:rPr>
          <w:color w:val="000000"/>
        </w:rPr>
        <w:t>court explained that the Florida plaintiffs had not alleged any direct claim against Picower</w:t>
      </w:r>
      <w:r w:rsidR="008B54D4">
        <w:rPr>
          <w:color w:val="000000"/>
        </w:rPr>
        <w:t>’</w:t>
      </w:r>
      <w:r w:rsidR="00A77BBD">
        <w:rPr>
          <w:color w:val="000000"/>
        </w:rPr>
        <w:t>s estate</w:t>
      </w:r>
      <w:r w:rsidR="008B54D4">
        <w:rPr>
          <w:color w:val="000000"/>
        </w:rPr>
        <w:t>,</w:t>
      </w:r>
      <w:r w:rsidR="00A77BBD">
        <w:rPr>
          <w:color w:val="000000"/>
        </w:rPr>
        <w:t xml:space="preserve"> because they failed to allege that Picower took any actions aimed at BLMIS customers (such as making misrepresentations to them) that caused particularized injury to those customers</w:t>
      </w:r>
      <w:r w:rsidR="006A227C">
        <w:rPr>
          <w:color w:val="000000"/>
        </w:rPr>
        <w:t xml:space="preserve">.  </w:t>
      </w:r>
      <w:r w:rsidR="00FD7892">
        <w:rPr>
          <w:i/>
          <w:iCs/>
          <w:color w:val="000000"/>
        </w:rPr>
        <w:t xml:space="preserve">Id. </w:t>
      </w:r>
      <w:r w:rsidR="00A77BBD">
        <w:rPr>
          <w:color w:val="000000"/>
        </w:rPr>
        <w:t>at 93.</w:t>
      </w:r>
    </w:p>
    <w:p w14:paraId="06978C69" w14:textId="67FF5612" w:rsidR="00A77BBD" w:rsidRDefault="00A77BBD" w:rsidP="00A77BBD">
      <w:pPr>
        <w:pStyle w:val="BodyTextFirstIndent"/>
      </w:pPr>
      <w:r>
        <w:rPr>
          <w:color w:val="000000"/>
        </w:rPr>
        <w:t>However</w:t>
      </w:r>
      <w:r w:rsidR="008B54D4">
        <w:rPr>
          <w:color w:val="000000"/>
        </w:rPr>
        <w:t>,</w:t>
      </w:r>
      <w:r>
        <w:rPr>
          <w:color w:val="000000"/>
        </w:rPr>
        <w:t xml:space="preserve"> </w:t>
      </w:r>
      <w:r w:rsidR="0012716D">
        <w:rPr>
          <w:color w:val="000000"/>
        </w:rPr>
        <w:t>we were</w:t>
      </w:r>
      <w:r>
        <w:rPr>
          <w:color w:val="000000"/>
        </w:rPr>
        <w:t xml:space="preserve"> careful to note that factual congruence between an estate</w:t>
      </w:r>
      <w:r w:rsidR="008B54D4">
        <w:rPr>
          <w:color w:val="000000"/>
        </w:rPr>
        <w:t>’</w:t>
      </w:r>
      <w:r>
        <w:rPr>
          <w:color w:val="000000"/>
        </w:rPr>
        <w:t>s claim and an individual creditor</w:t>
      </w:r>
      <w:r w:rsidR="008B54D4">
        <w:rPr>
          <w:color w:val="000000"/>
        </w:rPr>
        <w:t>’</w:t>
      </w:r>
      <w:r>
        <w:rPr>
          <w:color w:val="000000"/>
        </w:rPr>
        <w:t>s claim against the same non-debtor was not what rendered the asserted claims derivative</w:t>
      </w:r>
      <w:r w:rsidR="006A227C">
        <w:rPr>
          <w:color w:val="000000"/>
        </w:rPr>
        <w:t xml:space="preserve">.  </w:t>
      </w:r>
      <w:r>
        <w:rPr>
          <w:color w:val="000000"/>
        </w:rPr>
        <w:t>It held that</w:t>
      </w:r>
      <w:r w:rsidR="008B54D4">
        <w:rPr>
          <w:color w:val="000000"/>
        </w:rPr>
        <w:t>,</w:t>
      </w:r>
      <w:r>
        <w:rPr>
          <w:color w:val="000000"/>
        </w:rPr>
        <w:t xml:space="preserve"> “there is nothing illogical or contradictory” about factual overlap between the allegations asserted in direct claim and a derivative claim; a non-debtor “might have inflected direct injuries on both the [estate</w:t>
      </w:r>
      <w:r w:rsidR="008B54D4">
        <w:rPr>
          <w:color w:val="000000"/>
        </w:rPr>
        <w:t>’</w:t>
      </w:r>
      <w:r>
        <w:rPr>
          <w:color w:val="000000"/>
        </w:rPr>
        <w:t>s creditors] and [the debtor estate] during the course of dealings that form the backdrop of both sets of claims</w:t>
      </w:r>
      <w:r w:rsidR="00FA79C1">
        <w:rPr>
          <w:color w:val="000000"/>
        </w:rPr>
        <w:t xml:space="preserve">.”  </w:t>
      </w:r>
      <w:r w:rsidR="00FD7892">
        <w:rPr>
          <w:i/>
          <w:iCs/>
          <w:color w:val="000000"/>
        </w:rPr>
        <w:t xml:space="preserve">Id. </w:t>
      </w:r>
      <w:r>
        <w:rPr>
          <w:color w:val="000000"/>
        </w:rPr>
        <w:t xml:space="preserve">at 91 (quoting </w:t>
      </w:r>
      <w:r>
        <w:rPr>
          <w:i/>
          <w:iCs/>
          <w:color w:val="000000"/>
        </w:rPr>
        <w:t>In re Seven Seas Petroleum</w:t>
      </w:r>
      <w:r w:rsidR="008B54D4">
        <w:rPr>
          <w:i/>
          <w:iCs/>
          <w:color w:val="000000"/>
        </w:rPr>
        <w:t>,</w:t>
      </w:r>
      <w:r>
        <w:rPr>
          <w:i/>
          <w:iCs/>
          <w:color w:val="000000"/>
        </w:rPr>
        <w:t xml:space="preserve"> Inc.</w:t>
      </w:r>
      <w:r w:rsidR="008B54D4">
        <w:rPr>
          <w:color w:val="000000"/>
        </w:rPr>
        <w:t>,</w:t>
      </w:r>
      <w:r>
        <w:rPr>
          <w:color w:val="000000"/>
        </w:rPr>
        <w:t xml:space="preserve"> </w:t>
      </w:r>
      <w:hyperlink r:id="rId183" w:history="1">
        <w:r>
          <w:rPr>
            <w:color w:val="000000"/>
          </w:rPr>
          <w:t>522 F.3d 575</w:t>
        </w:r>
        <w:r w:rsidR="008B54D4">
          <w:rPr>
            <w:color w:val="000000"/>
          </w:rPr>
          <w:t>,</w:t>
        </w:r>
        <w:r>
          <w:rPr>
            <w:color w:val="000000"/>
          </w:rPr>
          <w:t xml:space="preserve"> 587 </w:t>
        </w:r>
      </w:hyperlink>
      <w:r>
        <w:rPr>
          <w:color w:val="000000"/>
        </w:rPr>
        <w:t xml:space="preserve">(5th </w:t>
      </w:r>
      <w:r w:rsidR="00E97455">
        <w:rPr>
          <w:color w:val="000000"/>
        </w:rPr>
        <w:t xml:space="preserve">Cir. </w:t>
      </w:r>
      <w:r>
        <w:rPr>
          <w:color w:val="000000"/>
        </w:rPr>
        <w:t>2008))</w:t>
      </w:r>
      <w:r w:rsidR="006A227C">
        <w:rPr>
          <w:color w:val="000000"/>
        </w:rPr>
        <w:t xml:space="preserve">.  </w:t>
      </w:r>
      <w:r>
        <w:rPr>
          <w:color w:val="000000"/>
        </w:rPr>
        <w:t>A creditor could</w:t>
      </w:r>
      <w:r w:rsidR="008B54D4">
        <w:rPr>
          <w:color w:val="000000"/>
        </w:rPr>
        <w:t>,</w:t>
      </w:r>
      <w:r>
        <w:rPr>
          <w:color w:val="000000"/>
        </w:rPr>
        <w:t xml:space="preserve"> therefore</w:t>
      </w:r>
      <w:r w:rsidR="008B54D4">
        <w:rPr>
          <w:color w:val="000000"/>
        </w:rPr>
        <w:t>,</w:t>
      </w:r>
      <w:r>
        <w:rPr>
          <w:color w:val="000000"/>
        </w:rPr>
        <w:t xml:space="preserve"> bring a direct claim against a non-debtor</w:t>
      </w:r>
      <w:r w:rsidR="008B54D4">
        <w:rPr>
          <w:color w:val="000000"/>
        </w:rPr>
        <w:t>,</w:t>
      </w:r>
      <w:r>
        <w:rPr>
          <w:color w:val="000000"/>
        </w:rPr>
        <w:t xml:space="preserve"> even though the debtor might have suffered an identical injury - provided the creditor was not seeking to recover for injuries suffered by the debtor</w:t>
      </w:r>
      <w:r w:rsidR="008B54D4">
        <w:rPr>
          <w:color w:val="000000"/>
        </w:rPr>
        <w:t>,</w:t>
      </w:r>
      <w:r>
        <w:rPr>
          <w:color w:val="000000"/>
        </w:rPr>
        <w:t xml:space="preserve"> but for injuries it suffered </w:t>
      </w:r>
      <w:r>
        <w:rPr>
          <w:i/>
          <w:iCs/>
          <w:color w:val="000000"/>
        </w:rPr>
        <w:t>directly</w:t>
      </w:r>
      <w:r w:rsidR="006A227C">
        <w:rPr>
          <w:color w:val="000000"/>
        </w:rPr>
        <w:t xml:space="preserve">.  </w:t>
      </w:r>
      <w:r>
        <w:rPr>
          <w:i/>
          <w:iCs/>
          <w:color w:val="000000"/>
        </w:rPr>
        <w:t>Id</w:t>
      </w:r>
      <w:r>
        <w:rPr>
          <w:color w:val="000000"/>
        </w:rPr>
        <w:t>.</w:t>
      </w:r>
    </w:p>
    <w:p w14:paraId="7EF251E9" w14:textId="2405548B" w:rsidR="00A77BBD" w:rsidRDefault="00A77BBD" w:rsidP="00A77BBD">
      <w:pPr>
        <w:pStyle w:val="BodyTextFirstIndent"/>
      </w:pPr>
      <w:r>
        <w:rPr>
          <w:color w:val="000000"/>
        </w:rPr>
        <w:t>Significantly for our purposes</w:t>
      </w:r>
      <w:r w:rsidR="008B54D4">
        <w:rPr>
          <w:color w:val="000000"/>
        </w:rPr>
        <w:t>,</w:t>
      </w:r>
      <w:r>
        <w:rPr>
          <w:color w:val="000000"/>
        </w:rPr>
        <w:t xml:space="preserve"> the </w:t>
      </w:r>
      <w:r w:rsidR="0012716D">
        <w:rPr>
          <w:i/>
          <w:iCs/>
          <w:color w:val="000000"/>
        </w:rPr>
        <w:t xml:space="preserve">Madoff </w:t>
      </w:r>
      <w:r w:rsidR="0012716D">
        <w:rPr>
          <w:color w:val="000000"/>
        </w:rPr>
        <w:t>Court</w:t>
      </w:r>
      <w:r>
        <w:rPr>
          <w:color w:val="000000"/>
        </w:rPr>
        <w:t xml:space="preserve"> did not simply sweep away the Florida class actions; it permitted the creditors to amend their Florida complaints to assert direct claims if they could identify some direct injury that Picower caused them</w:t>
      </w:r>
      <w:r w:rsidR="008B54D4">
        <w:rPr>
          <w:color w:val="000000"/>
        </w:rPr>
        <w:t>,</w:t>
      </w:r>
      <w:r>
        <w:rPr>
          <w:color w:val="000000"/>
        </w:rPr>
        <w:t xml:space="preserve"> as there was “conceivably some particularized claim” that the customers could assert against the non-debtor that could not also be asserted or released by the estate</w:t>
      </w:r>
      <w:r w:rsidR="006A227C">
        <w:rPr>
          <w:color w:val="000000"/>
        </w:rPr>
        <w:t xml:space="preserve">.  </w:t>
      </w:r>
      <w:r w:rsidR="00FD7892">
        <w:rPr>
          <w:i/>
          <w:iCs/>
          <w:color w:val="000000"/>
        </w:rPr>
        <w:t xml:space="preserve">Id. </w:t>
      </w:r>
      <w:r>
        <w:rPr>
          <w:color w:val="000000"/>
        </w:rPr>
        <w:t>at 94.</w:t>
      </w:r>
    </w:p>
    <w:p w14:paraId="313D5992" w14:textId="7C407F4A" w:rsidR="00A77BBD" w:rsidRDefault="00A77BBD" w:rsidP="00A77BBD">
      <w:pPr>
        <w:pStyle w:val="BodyTextFirstIndent"/>
      </w:pPr>
      <w:r>
        <w:rPr>
          <w:b/>
          <w:bCs/>
          <w:color w:val="000000"/>
          <w:u w:val="single"/>
        </w:rPr>
        <w:t>Tronox</w:t>
      </w:r>
      <w:r w:rsidRPr="007C171F">
        <w:rPr>
          <w:color w:val="000000"/>
        </w:rPr>
        <w:t xml:space="preserve">:  </w:t>
      </w:r>
      <w:r>
        <w:rPr>
          <w:i/>
          <w:iCs/>
          <w:color w:val="000000"/>
        </w:rPr>
        <w:t>In re Tronox</w:t>
      </w:r>
      <w:r w:rsidR="008B54D4">
        <w:rPr>
          <w:i/>
          <w:iCs/>
          <w:color w:val="000000"/>
        </w:rPr>
        <w:t>,</w:t>
      </w:r>
      <w:r>
        <w:rPr>
          <w:i/>
          <w:iCs/>
          <w:color w:val="000000"/>
        </w:rPr>
        <w:t xml:space="preserve"> Inc</w:t>
      </w:r>
      <w:r w:rsidRPr="009E353C">
        <w:rPr>
          <w:color w:val="000000"/>
        </w:rPr>
        <w:t>.</w:t>
      </w:r>
      <w:r w:rsidR="008B54D4" w:rsidRPr="009E353C">
        <w:rPr>
          <w:color w:val="000000"/>
        </w:rPr>
        <w:t>,</w:t>
      </w:r>
      <w:hyperlink r:id="rId184" w:history="1">
        <w:r>
          <w:rPr>
            <w:color w:val="000000"/>
          </w:rPr>
          <w:t xml:space="preserve"> 855 F.3d 84 </w:t>
        </w:r>
      </w:hyperlink>
      <w:r>
        <w:rPr>
          <w:color w:val="000000"/>
        </w:rPr>
        <w:t xml:space="preserve">(2d </w:t>
      </w:r>
      <w:r w:rsidR="00E97455">
        <w:rPr>
          <w:color w:val="000000"/>
        </w:rPr>
        <w:t xml:space="preserve">Cir. </w:t>
      </w:r>
      <w:r>
        <w:rPr>
          <w:color w:val="000000"/>
        </w:rPr>
        <w:t>2017) was not an asbestos case</w:t>
      </w:r>
      <w:r w:rsidR="008B54D4">
        <w:rPr>
          <w:color w:val="000000"/>
        </w:rPr>
        <w:t>,</w:t>
      </w:r>
      <w:r w:rsidR="0012716D">
        <w:rPr>
          <w:color w:val="000000"/>
        </w:rPr>
        <w:t xml:space="preserve"> and </w:t>
      </w:r>
      <w:r>
        <w:rPr>
          <w:color w:val="000000"/>
        </w:rPr>
        <w:t>it adds nothing to the above discussion</w:t>
      </w:r>
      <w:r w:rsidR="008B54D4">
        <w:rPr>
          <w:color w:val="000000"/>
        </w:rPr>
        <w:t>,</w:t>
      </w:r>
      <w:r>
        <w:rPr>
          <w:color w:val="000000"/>
        </w:rPr>
        <w:t xml:space="preserve"> for two reasons</w:t>
      </w:r>
      <w:r w:rsidR="006A227C">
        <w:rPr>
          <w:color w:val="000000"/>
        </w:rPr>
        <w:t xml:space="preserve">.  </w:t>
      </w:r>
      <w:r>
        <w:rPr>
          <w:color w:val="000000"/>
        </w:rPr>
        <w:t>First and foremost</w:t>
      </w:r>
      <w:r w:rsidR="008B54D4">
        <w:rPr>
          <w:color w:val="000000"/>
        </w:rPr>
        <w:t>,</w:t>
      </w:r>
      <w:r>
        <w:rPr>
          <w:color w:val="000000"/>
        </w:rPr>
        <w:t xml:space="preserve"> </w:t>
      </w:r>
      <w:r w:rsidR="0012716D">
        <w:rPr>
          <w:color w:val="000000"/>
        </w:rPr>
        <w:t>we</w:t>
      </w:r>
      <w:r>
        <w:rPr>
          <w:color w:val="000000"/>
        </w:rPr>
        <w:t xml:space="preserve"> dismissed the appeal for lack of appellate jurisdiction</w:t>
      </w:r>
      <w:r w:rsidR="006A227C">
        <w:rPr>
          <w:color w:val="000000"/>
        </w:rPr>
        <w:t xml:space="preserve">.  </w:t>
      </w:r>
      <w:r>
        <w:rPr>
          <w:color w:val="000000"/>
        </w:rPr>
        <w:t>Second</w:t>
      </w:r>
      <w:r w:rsidR="008B54D4">
        <w:rPr>
          <w:color w:val="000000"/>
        </w:rPr>
        <w:t>,</w:t>
      </w:r>
      <w:r>
        <w:rPr>
          <w:color w:val="000000"/>
        </w:rPr>
        <w:t xml:space="preserve"> in that case</w:t>
      </w:r>
      <w:r w:rsidR="008B54D4">
        <w:rPr>
          <w:color w:val="000000"/>
        </w:rPr>
        <w:t>,</w:t>
      </w:r>
      <w:r>
        <w:rPr>
          <w:color w:val="000000"/>
        </w:rPr>
        <w:t xml:space="preserve"> the claims asserted against the non-debtors by the third party were again derivative</w:t>
      </w:r>
      <w:r w:rsidR="008B54D4">
        <w:rPr>
          <w:color w:val="000000"/>
        </w:rPr>
        <w:t>,</w:t>
      </w:r>
      <w:r>
        <w:rPr>
          <w:color w:val="000000"/>
        </w:rPr>
        <w:t xml:space="preserve"> not direct</w:t>
      </w:r>
      <w:r w:rsidR="008B54D4">
        <w:rPr>
          <w:color w:val="000000"/>
        </w:rPr>
        <w:t>,</w:t>
      </w:r>
      <w:r>
        <w:rPr>
          <w:color w:val="000000"/>
        </w:rPr>
        <w:t xml:space="preserve"> claims (</w:t>
      </w:r>
      <w:r>
        <w:rPr>
          <w:i/>
          <w:iCs/>
          <w:color w:val="000000"/>
        </w:rPr>
        <w:t>e.g</w:t>
      </w:r>
      <w:r>
        <w:rPr>
          <w:color w:val="000000"/>
        </w:rPr>
        <w:t>.</w:t>
      </w:r>
      <w:r w:rsidR="008B54D4">
        <w:rPr>
          <w:color w:val="000000"/>
        </w:rPr>
        <w:t>,</w:t>
      </w:r>
      <w:r>
        <w:rPr>
          <w:color w:val="000000"/>
        </w:rPr>
        <w:t xml:space="preserve"> alter ego</w:t>
      </w:r>
      <w:r w:rsidR="008B54D4">
        <w:rPr>
          <w:color w:val="000000"/>
        </w:rPr>
        <w:t>,</w:t>
      </w:r>
      <w:r>
        <w:rPr>
          <w:color w:val="000000"/>
        </w:rPr>
        <w:t xml:space="preserve"> piercing the corporate veil</w:t>
      </w:r>
      <w:r w:rsidR="008B54D4">
        <w:rPr>
          <w:color w:val="000000"/>
        </w:rPr>
        <w:t>,</w:t>
      </w:r>
      <w:r>
        <w:rPr>
          <w:color w:val="000000"/>
        </w:rPr>
        <w:t xml:space="preserve"> and successor liability) - as in </w:t>
      </w:r>
      <w:r>
        <w:rPr>
          <w:i/>
          <w:iCs/>
          <w:color w:val="000000"/>
        </w:rPr>
        <w:t>Madoff</w:t>
      </w:r>
      <w:r w:rsidR="008B54D4">
        <w:rPr>
          <w:color w:val="000000"/>
        </w:rPr>
        <w:t>,</w:t>
      </w:r>
      <w:r>
        <w:rPr>
          <w:color w:val="000000"/>
        </w:rPr>
        <w:t xml:space="preserve"> the plaintiff alleged “no particularized injury” to the claimant</w:t>
      </w:r>
      <w:r w:rsidR="006A227C">
        <w:rPr>
          <w:color w:val="000000"/>
        </w:rPr>
        <w:t xml:space="preserve">.  </w:t>
      </w:r>
      <w:r w:rsidR="00FD7892">
        <w:rPr>
          <w:i/>
          <w:iCs/>
          <w:color w:val="000000"/>
        </w:rPr>
        <w:t xml:space="preserve">Id. </w:t>
      </w:r>
      <w:r w:rsidR="009E353C">
        <w:rPr>
          <w:i/>
          <w:iCs/>
          <w:color w:val="000000"/>
        </w:rPr>
        <w:t xml:space="preserve"> </w:t>
      </w:r>
      <w:r>
        <w:rPr>
          <w:color w:val="000000"/>
        </w:rPr>
        <w:t>Because success on a derivative claim benefits all creditors of the estate</w:t>
      </w:r>
      <w:r w:rsidR="008B54D4">
        <w:rPr>
          <w:color w:val="000000"/>
        </w:rPr>
        <w:t>,</w:t>
      </w:r>
      <w:r>
        <w:rPr>
          <w:color w:val="000000"/>
        </w:rPr>
        <w:t xml:space="preserve"> the Circuit held that the bankruptcy “trustee is the proper person to assert the claim</w:t>
      </w:r>
      <w:r w:rsidR="008B54D4">
        <w:rPr>
          <w:color w:val="000000"/>
        </w:rPr>
        <w:t>,</w:t>
      </w:r>
      <w:r>
        <w:rPr>
          <w:color w:val="000000"/>
        </w:rPr>
        <w:t xml:space="preserve"> and the creditors are bound by the outcome of the trustee</w:t>
      </w:r>
      <w:r w:rsidR="008B54D4">
        <w:rPr>
          <w:color w:val="000000"/>
        </w:rPr>
        <w:t>’</w:t>
      </w:r>
      <w:r>
        <w:rPr>
          <w:color w:val="000000"/>
        </w:rPr>
        <w:t>s action</w:t>
      </w:r>
      <w:r w:rsidR="00FA79C1">
        <w:rPr>
          <w:color w:val="000000"/>
        </w:rPr>
        <w:t xml:space="preserve">.”  </w:t>
      </w:r>
      <w:r>
        <w:rPr>
          <w:i/>
          <w:iCs/>
          <w:color w:val="000000"/>
        </w:rPr>
        <w:t>In re Tronox Inc</w:t>
      </w:r>
      <w:r>
        <w:rPr>
          <w:color w:val="000000"/>
        </w:rPr>
        <w:t>.</w:t>
      </w:r>
      <w:r w:rsidR="008B54D4">
        <w:rPr>
          <w:color w:val="000000"/>
        </w:rPr>
        <w:t>,</w:t>
      </w:r>
      <w:r>
        <w:rPr>
          <w:color w:val="000000"/>
        </w:rPr>
        <w:t xml:space="preserve"> </w:t>
      </w:r>
      <w:hyperlink r:id="rId185" w:history="1">
        <w:r>
          <w:rPr>
            <w:color w:val="000000"/>
          </w:rPr>
          <w:t xml:space="preserve">855 F.3d at 103 </w:t>
        </w:r>
      </w:hyperlink>
      <w:r>
        <w:rPr>
          <w:color w:val="000000"/>
        </w:rPr>
        <w:t>(internal quotation omitted).</w:t>
      </w:r>
    </w:p>
    <w:p w14:paraId="19A20EAF" w14:textId="216FE9D3" w:rsidR="00A77BBD" w:rsidRDefault="00A77BBD" w:rsidP="00A77BBD">
      <w:pPr>
        <w:pStyle w:val="BodyTextFirstIndent"/>
      </w:pPr>
      <w:r>
        <w:rPr>
          <w:color w:val="000000"/>
        </w:rPr>
        <w:t>But the court went on to say that</w:t>
      </w:r>
      <w:r w:rsidR="008B54D4">
        <w:rPr>
          <w:color w:val="000000"/>
        </w:rPr>
        <w:t>,</w:t>
      </w:r>
      <w:r>
        <w:rPr>
          <w:color w:val="000000"/>
        </w:rPr>
        <w:t xml:space="preserve"> “when creditors have a claim for injury that is particularized as to them</w:t>
      </w:r>
      <w:r w:rsidR="008B54D4">
        <w:rPr>
          <w:color w:val="000000"/>
        </w:rPr>
        <w:t>,</w:t>
      </w:r>
      <w:r>
        <w:rPr>
          <w:color w:val="000000"/>
        </w:rPr>
        <w:t xml:space="preserve"> they are exclusively entitled to pursue that claim</w:t>
      </w:r>
      <w:r w:rsidR="008B54D4">
        <w:rPr>
          <w:color w:val="000000"/>
        </w:rPr>
        <w:t>,</w:t>
      </w:r>
      <w:r>
        <w:rPr>
          <w:color w:val="000000"/>
        </w:rPr>
        <w:t xml:space="preserve"> and the bankruptcy estate is precluded from doing so</w:t>
      </w:r>
      <w:r w:rsidR="00FA79C1">
        <w:rPr>
          <w:color w:val="000000"/>
        </w:rPr>
        <w:t xml:space="preserve">.”  </w:t>
      </w:r>
      <w:r w:rsidR="00FD7892">
        <w:rPr>
          <w:i/>
          <w:iCs/>
          <w:color w:val="000000"/>
        </w:rPr>
        <w:t xml:space="preserve">Id. </w:t>
      </w:r>
      <w:r>
        <w:rPr>
          <w:color w:val="000000"/>
        </w:rPr>
        <w:t>at 99 (internal citation omitted)</w:t>
      </w:r>
      <w:r w:rsidR="006A227C">
        <w:rPr>
          <w:color w:val="000000"/>
        </w:rPr>
        <w:t xml:space="preserve">.  </w:t>
      </w:r>
      <w:r>
        <w:rPr>
          <w:color w:val="000000"/>
        </w:rPr>
        <w:t>There was no discussion of enjoining such particularized claims</w:t>
      </w:r>
      <w:r w:rsidR="008B54D4">
        <w:rPr>
          <w:color w:val="000000"/>
        </w:rPr>
        <w:t>,</w:t>
      </w:r>
      <w:r>
        <w:rPr>
          <w:color w:val="000000"/>
        </w:rPr>
        <w:t xml:space="preserve"> let alone any discussion of statutory authority for doing so.</w:t>
      </w:r>
    </w:p>
    <w:p w14:paraId="606D4FD3" w14:textId="55F35BD7" w:rsidR="00A77BBD" w:rsidRDefault="00A77BBD" w:rsidP="00A77BBD">
      <w:pPr>
        <w:pStyle w:val="BodyTextFirstIndent"/>
      </w:pPr>
      <w:r>
        <w:rPr>
          <w:b/>
          <w:bCs/>
          <w:color w:val="000000"/>
          <w:u w:val="single"/>
        </w:rPr>
        <w:t>Kirwan (Lynch</w:t>
      </w:r>
      <w:r w:rsidR="00E150C1">
        <w:rPr>
          <w:b/>
          <w:bCs/>
          <w:color w:val="000000"/>
          <w:u w:val="single"/>
        </w:rPr>
        <w:t xml:space="preserve"> v. </w:t>
      </w:r>
      <w:r>
        <w:rPr>
          <w:b/>
          <w:bCs/>
          <w:color w:val="000000"/>
          <w:u w:val="single"/>
        </w:rPr>
        <w:t>Lapidem)</w:t>
      </w:r>
      <w:r w:rsidRPr="005B0FDA">
        <w:rPr>
          <w:color w:val="000000"/>
        </w:rPr>
        <w:t>:</w:t>
      </w:r>
      <w:r w:rsidRPr="009E353C">
        <w:rPr>
          <w:color w:val="000000"/>
        </w:rPr>
        <w:t xml:space="preserve">  </w:t>
      </w:r>
      <w:r w:rsidR="0012716D">
        <w:rPr>
          <w:color w:val="000000"/>
        </w:rPr>
        <w:t>In</w:t>
      </w:r>
      <w:r>
        <w:rPr>
          <w:color w:val="000000"/>
        </w:rPr>
        <w:t xml:space="preserve"> </w:t>
      </w:r>
      <w:r>
        <w:rPr>
          <w:i/>
          <w:iCs/>
          <w:color w:val="000000"/>
        </w:rPr>
        <w:t>Lynch</w:t>
      </w:r>
      <w:r w:rsidR="00E150C1">
        <w:rPr>
          <w:i/>
          <w:iCs/>
          <w:color w:val="000000"/>
        </w:rPr>
        <w:t xml:space="preserve"> v. </w:t>
      </w:r>
      <w:r>
        <w:rPr>
          <w:i/>
          <w:iCs/>
          <w:color w:val="000000"/>
        </w:rPr>
        <w:t>Lapidem (In re Kirwan Offs.</w:t>
      </w:r>
      <w:r w:rsidR="009E353C">
        <w:rPr>
          <w:i/>
          <w:iCs/>
          <w:color w:val="000000"/>
        </w:rPr>
        <w:t xml:space="preserve"> </w:t>
      </w:r>
      <w:r>
        <w:rPr>
          <w:i/>
          <w:iCs/>
          <w:color w:val="000000"/>
        </w:rPr>
        <w:t>S.a.R.L.)</w:t>
      </w:r>
      <w:hyperlink r:id="rId186" w:history="1">
        <w:r>
          <w:rPr>
            <w:color w:val="000000"/>
          </w:rPr>
          <w:t xml:space="preserve"> 792 </w:t>
        </w:r>
        <w:r w:rsidR="006E01F7">
          <w:rPr>
            <w:color w:val="000000"/>
          </w:rPr>
          <w:t xml:space="preserve">Fed. </w:t>
        </w:r>
        <w:r>
          <w:rPr>
            <w:color w:val="000000"/>
          </w:rPr>
          <w:t>Appx</w:t>
        </w:r>
        <w:r w:rsidR="006A227C">
          <w:rPr>
            <w:color w:val="000000"/>
          </w:rPr>
          <w:t xml:space="preserve">. </w:t>
        </w:r>
        <w:r>
          <w:rPr>
            <w:color w:val="000000"/>
          </w:rPr>
          <w:t xml:space="preserve">99 </w:t>
        </w:r>
      </w:hyperlink>
      <w:r>
        <w:rPr>
          <w:color w:val="000000"/>
        </w:rPr>
        <w:t xml:space="preserve">(2d </w:t>
      </w:r>
      <w:r w:rsidR="00E97455">
        <w:rPr>
          <w:color w:val="000000"/>
        </w:rPr>
        <w:t xml:space="preserve">Cir. </w:t>
      </w:r>
      <w:r>
        <w:rPr>
          <w:color w:val="000000"/>
        </w:rPr>
        <w:t>2019) (“</w:t>
      </w:r>
      <w:r>
        <w:rPr>
          <w:i/>
          <w:iCs/>
          <w:color w:val="000000"/>
        </w:rPr>
        <w:t>Kirwan</w:t>
      </w:r>
      <w:r>
        <w:rPr>
          <w:color w:val="000000"/>
        </w:rPr>
        <w:t>”)</w:t>
      </w:r>
      <w:r w:rsidR="0012716D">
        <w:rPr>
          <w:color w:val="000000"/>
        </w:rPr>
        <w:t>, we</w:t>
      </w:r>
      <w:r>
        <w:rPr>
          <w:color w:val="000000"/>
        </w:rPr>
        <w:t xml:space="preserve"> affirmed a </w:t>
      </w:r>
      <w:r w:rsidR="000E09FD">
        <w:rPr>
          <w:color w:val="000000"/>
        </w:rPr>
        <w:t>b</w:t>
      </w:r>
      <w:r>
        <w:rPr>
          <w:color w:val="000000"/>
        </w:rPr>
        <w:t xml:space="preserve">ankruptcy </w:t>
      </w:r>
      <w:r w:rsidR="000E09FD">
        <w:rPr>
          <w:color w:val="000000"/>
        </w:rPr>
        <w:t>c</w:t>
      </w:r>
      <w:r>
        <w:rPr>
          <w:color w:val="000000"/>
        </w:rPr>
        <w:t xml:space="preserve">ourt injunction that was included in a plan of reorganization in order to prevent collateral attacks on prior orders of that </w:t>
      </w:r>
      <w:r w:rsidR="000E09FD">
        <w:rPr>
          <w:color w:val="000000"/>
        </w:rPr>
        <w:t>c</w:t>
      </w:r>
      <w:r>
        <w:rPr>
          <w:color w:val="000000"/>
        </w:rPr>
        <w:t>ourt</w:t>
      </w:r>
      <w:r w:rsidR="006A227C">
        <w:rPr>
          <w:color w:val="000000"/>
        </w:rPr>
        <w:t xml:space="preserve">.  </w:t>
      </w:r>
      <w:r>
        <w:rPr>
          <w:color w:val="000000"/>
        </w:rPr>
        <w:t xml:space="preserve">The appellant in </w:t>
      </w:r>
      <w:r>
        <w:rPr>
          <w:i/>
          <w:iCs/>
          <w:color w:val="000000"/>
        </w:rPr>
        <w:t>Kirwan</w:t>
      </w:r>
      <w:r>
        <w:rPr>
          <w:color w:val="000000"/>
        </w:rPr>
        <w:t xml:space="preserve"> (Lynch) was one of three shareholders in the bankrupt enterprise</w:t>
      </w:r>
      <w:r w:rsidR="006A227C">
        <w:rPr>
          <w:color w:val="000000"/>
        </w:rPr>
        <w:t xml:space="preserve">.  </w:t>
      </w:r>
      <w:r>
        <w:rPr>
          <w:color w:val="000000"/>
        </w:rPr>
        <w:t xml:space="preserve">He challenged the </w:t>
      </w:r>
      <w:r>
        <w:rPr>
          <w:i/>
          <w:iCs/>
          <w:color w:val="000000"/>
        </w:rPr>
        <w:t>bona fides</w:t>
      </w:r>
      <w:r>
        <w:rPr>
          <w:color w:val="000000"/>
        </w:rPr>
        <w:t xml:space="preserve"> of the bankruptcy filed by his former partners but lost after trial</w:t>
      </w:r>
      <w:r w:rsidR="006A227C">
        <w:rPr>
          <w:color w:val="000000"/>
        </w:rPr>
        <w:t xml:space="preserve">.  </w:t>
      </w:r>
      <w:r>
        <w:rPr>
          <w:color w:val="000000"/>
        </w:rPr>
        <w:t>The dissident shareholder then absented himself from the hearing on the plan of reorganization</w:t>
      </w:r>
      <w:r w:rsidR="008B54D4">
        <w:rPr>
          <w:color w:val="000000"/>
        </w:rPr>
        <w:t>,</w:t>
      </w:r>
      <w:r>
        <w:rPr>
          <w:color w:val="000000"/>
        </w:rPr>
        <w:t xml:space="preserve"> of which he had notice</w:t>
      </w:r>
      <w:r w:rsidR="006A227C">
        <w:rPr>
          <w:color w:val="000000"/>
        </w:rPr>
        <w:t xml:space="preserve">.  </w:t>
      </w:r>
      <w:r>
        <w:rPr>
          <w:color w:val="000000"/>
        </w:rPr>
        <w:t xml:space="preserve">He did so in the (mistaken) belief that he could avoid any </w:t>
      </w:r>
      <w:r>
        <w:rPr>
          <w:i/>
          <w:iCs/>
          <w:color w:val="000000"/>
        </w:rPr>
        <w:t>res judicata</w:t>
      </w:r>
      <w:r>
        <w:rPr>
          <w:color w:val="000000"/>
        </w:rPr>
        <w:t xml:space="preserve"> effect of the bankruptcy court</w:t>
      </w:r>
      <w:r w:rsidR="008B54D4">
        <w:rPr>
          <w:color w:val="000000"/>
        </w:rPr>
        <w:t>’</w:t>
      </w:r>
      <w:r>
        <w:rPr>
          <w:color w:val="000000"/>
        </w:rPr>
        <w:t>s orders as long as he did not participate</w:t>
      </w:r>
      <w:r w:rsidR="006A227C">
        <w:rPr>
          <w:color w:val="000000"/>
        </w:rPr>
        <w:t xml:space="preserve">.  </w:t>
      </w:r>
      <w:r>
        <w:rPr>
          <w:i/>
          <w:iCs/>
          <w:color w:val="000000"/>
        </w:rPr>
        <w:t>See In re Kirwan Offs</w:t>
      </w:r>
      <w:r w:rsidR="006A227C">
        <w:rPr>
          <w:i/>
          <w:iCs/>
          <w:color w:val="000000"/>
        </w:rPr>
        <w:t xml:space="preserve">. </w:t>
      </w:r>
      <w:r>
        <w:rPr>
          <w:i/>
          <w:iCs/>
          <w:color w:val="000000"/>
        </w:rPr>
        <w:t>S.a.RL.</w:t>
      </w:r>
      <w:r w:rsidR="008B54D4" w:rsidRPr="007C171F">
        <w:rPr>
          <w:color w:val="000000"/>
        </w:rPr>
        <w:t>,</w:t>
      </w:r>
      <w:r>
        <w:rPr>
          <w:i/>
          <w:iCs/>
          <w:color w:val="000000"/>
        </w:rPr>
        <w:t xml:space="preserve"> </w:t>
      </w:r>
      <w:hyperlink r:id="rId187" w:history="1">
        <w:r>
          <w:rPr>
            <w:color w:val="000000"/>
          </w:rPr>
          <w:t xml:space="preserve">592 </w:t>
        </w:r>
        <w:r w:rsidR="00755A0D">
          <w:rPr>
            <w:color w:val="000000"/>
          </w:rPr>
          <w:t xml:space="preserve">B.R. </w:t>
        </w:r>
        <w:r>
          <w:rPr>
            <w:color w:val="000000"/>
          </w:rPr>
          <w:t>489</w:t>
        </w:r>
        <w:r w:rsidR="008B54D4">
          <w:rPr>
            <w:color w:val="000000"/>
          </w:rPr>
          <w:t>,</w:t>
        </w:r>
        <w:r>
          <w:rPr>
            <w:color w:val="000000"/>
          </w:rPr>
          <w:t xml:space="preserve"> 501 </w:t>
        </w:r>
      </w:hyperlink>
      <w:r>
        <w:rPr>
          <w:color w:val="000000"/>
        </w:rPr>
        <w:t>(S.D.N.Y</w:t>
      </w:r>
      <w:r w:rsidR="006A227C">
        <w:rPr>
          <w:color w:val="000000"/>
        </w:rPr>
        <w:t xml:space="preserve">.  </w:t>
      </w:r>
      <w:r>
        <w:rPr>
          <w:color w:val="000000"/>
        </w:rPr>
        <w:t>2018)</w:t>
      </w:r>
      <w:r w:rsidR="008B54D4">
        <w:rPr>
          <w:color w:val="000000"/>
        </w:rPr>
        <w:t>,</w:t>
      </w:r>
      <w:r>
        <w:rPr>
          <w:color w:val="000000"/>
        </w:rPr>
        <w:t xml:space="preserve"> </w:t>
      </w:r>
      <w:r>
        <w:rPr>
          <w:i/>
          <w:iCs/>
          <w:color w:val="000000"/>
        </w:rPr>
        <w:t>aff</w:t>
      </w:r>
      <w:r w:rsidR="008B54D4">
        <w:rPr>
          <w:i/>
          <w:iCs/>
          <w:color w:val="000000"/>
        </w:rPr>
        <w:t>’</w:t>
      </w:r>
      <w:r>
        <w:rPr>
          <w:i/>
          <w:iCs/>
          <w:color w:val="000000"/>
        </w:rPr>
        <w:t>d sub nom</w:t>
      </w:r>
      <w:r w:rsidR="006A227C">
        <w:rPr>
          <w:i/>
          <w:iCs/>
          <w:color w:val="000000"/>
        </w:rPr>
        <w:t xml:space="preserve">. </w:t>
      </w:r>
      <w:r>
        <w:rPr>
          <w:i/>
          <w:iCs/>
          <w:color w:val="000000"/>
        </w:rPr>
        <w:t>In re Kirwan Offs</w:t>
      </w:r>
      <w:r w:rsidR="006A227C">
        <w:rPr>
          <w:i/>
          <w:iCs/>
          <w:color w:val="000000"/>
        </w:rPr>
        <w:t xml:space="preserve">.  </w:t>
      </w:r>
      <w:r>
        <w:rPr>
          <w:i/>
          <w:iCs/>
          <w:color w:val="000000"/>
        </w:rPr>
        <w:t>S.a.RL.</w:t>
      </w:r>
      <w:r w:rsidR="008B54D4">
        <w:rPr>
          <w:i/>
          <w:iCs/>
          <w:color w:val="000000"/>
        </w:rPr>
        <w:t>,</w:t>
      </w:r>
      <w:hyperlink r:id="rId188" w:history="1">
        <w:r>
          <w:rPr>
            <w:color w:val="000000"/>
          </w:rPr>
          <w:t xml:space="preserve"> 792 F</w:t>
        </w:r>
        <w:r w:rsidR="006A227C">
          <w:rPr>
            <w:color w:val="000000"/>
          </w:rPr>
          <w:t xml:space="preserve">. </w:t>
        </w:r>
        <w:r>
          <w:rPr>
            <w:color w:val="000000"/>
          </w:rPr>
          <w:t>App</w:t>
        </w:r>
        <w:r w:rsidR="008B54D4">
          <w:rPr>
            <w:color w:val="000000"/>
          </w:rPr>
          <w:t>’</w:t>
        </w:r>
        <w:r>
          <w:rPr>
            <w:color w:val="000000"/>
          </w:rPr>
          <w:t>x 99</w:t>
        </w:r>
      </w:hyperlink>
      <w:r>
        <w:rPr>
          <w:color w:val="000000"/>
        </w:rPr>
        <w:t xml:space="preserve"> (2d </w:t>
      </w:r>
      <w:r w:rsidR="00E97455">
        <w:rPr>
          <w:color w:val="000000"/>
        </w:rPr>
        <w:t xml:space="preserve">Cir. </w:t>
      </w:r>
      <w:r>
        <w:rPr>
          <w:color w:val="000000"/>
        </w:rPr>
        <w:t>2019).</w:t>
      </w:r>
    </w:p>
    <w:p w14:paraId="5C9C366E" w14:textId="096D25D3" w:rsidR="00A77BBD" w:rsidRDefault="00A77BBD" w:rsidP="00A77BBD">
      <w:pPr>
        <w:pStyle w:val="BodyTextFirstIndent"/>
      </w:pPr>
      <w:r>
        <w:rPr>
          <w:color w:val="000000"/>
        </w:rPr>
        <w:t xml:space="preserve">Anticipating that the dissident shareholder would try to mount a collateral attack on the </w:t>
      </w:r>
      <w:r w:rsidR="000E09FD">
        <w:rPr>
          <w:color w:val="000000"/>
        </w:rPr>
        <w:t>b</w:t>
      </w:r>
      <w:r>
        <w:rPr>
          <w:color w:val="000000"/>
        </w:rPr>
        <w:t xml:space="preserve">ankruptcy </w:t>
      </w:r>
      <w:r w:rsidR="000E09FD">
        <w:rPr>
          <w:color w:val="000000"/>
        </w:rPr>
        <w:t>c</w:t>
      </w:r>
      <w:r>
        <w:rPr>
          <w:color w:val="000000"/>
        </w:rPr>
        <w:t>ourt</w:t>
      </w:r>
      <w:r w:rsidR="008B54D4">
        <w:rPr>
          <w:color w:val="000000"/>
        </w:rPr>
        <w:t>’</w:t>
      </w:r>
      <w:r>
        <w:rPr>
          <w:color w:val="000000"/>
        </w:rPr>
        <w:t>s order confirming the plan</w:t>
      </w:r>
      <w:r w:rsidR="008B54D4">
        <w:rPr>
          <w:color w:val="000000"/>
        </w:rPr>
        <w:t>,</w:t>
      </w:r>
      <w:r>
        <w:rPr>
          <w:color w:val="000000"/>
        </w:rPr>
        <w:t xml:space="preserve"> the other two shareholders had included therein a provision enjoining any person</w:t>
      </w:r>
      <w:r w:rsidR="008B54D4">
        <w:rPr>
          <w:color w:val="000000"/>
        </w:rPr>
        <w:t>,</w:t>
      </w:r>
      <w:r>
        <w:rPr>
          <w:color w:val="000000"/>
        </w:rPr>
        <w:t xml:space="preserve"> including Lynch</w:t>
      </w:r>
      <w:r w:rsidR="008B54D4">
        <w:rPr>
          <w:color w:val="000000"/>
        </w:rPr>
        <w:t>,</w:t>
      </w:r>
      <w:r>
        <w:rPr>
          <w:color w:val="000000"/>
        </w:rPr>
        <w:t xml:space="preserve"> from suing anyone in any forum on a claim arising out of the bankruptcy proceeding and the court-approved reorganization</w:t>
      </w:r>
      <w:r w:rsidR="006A227C">
        <w:rPr>
          <w:color w:val="000000"/>
        </w:rPr>
        <w:t xml:space="preserve">.  </w:t>
      </w:r>
      <w:r>
        <w:rPr>
          <w:color w:val="000000"/>
        </w:rPr>
        <w:t xml:space="preserve">Judge </w:t>
      </w:r>
      <w:r w:rsidR="00E82FD6">
        <w:rPr>
          <w:color w:val="000000"/>
        </w:rPr>
        <w:t>Wains</w:t>
      </w:r>
      <w:r>
        <w:rPr>
          <w:color w:val="000000"/>
        </w:rPr>
        <w:t xml:space="preserve"> confirmed the plan containing that provision</w:t>
      </w:r>
      <w:r w:rsidR="006A227C">
        <w:rPr>
          <w:color w:val="000000"/>
        </w:rPr>
        <w:t xml:space="preserve">.  </w:t>
      </w:r>
      <w:r>
        <w:rPr>
          <w:color w:val="000000"/>
        </w:rPr>
        <w:t>At the time he entered the order confirming the plan</w:t>
      </w:r>
      <w:r w:rsidR="008B54D4">
        <w:rPr>
          <w:color w:val="000000"/>
        </w:rPr>
        <w:t>,</w:t>
      </w:r>
      <w:r>
        <w:rPr>
          <w:color w:val="000000"/>
        </w:rPr>
        <w:t xml:space="preserve"> the Bankruptcy Judge made it clear that Lynch</w:t>
      </w:r>
      <w:r w:rsidR="008B54D4">
        <w:rPr>
          <w:color w:val="000000"/>
        </w:rPr>
        <w:t>’</w:t>
      </w:r>
      <w:r>
        <w:rPr>
          <w:color w:val="000000"/>
        </w:rPr>
        <w:t xml:space="preserve">s “opposition to any reasonable restructuring </w:t>
      </w:r>
      <w:r w:rsidR="00110F91">
        <w:rPr>
          <w:color w:val="000000"/>
        </w:rPr>
        <w:t xml:space="preserve">. . . </w:t>
      </w:r>
      <w:r>
        <w:rPr>
          <w:color w:val="000000"/>
        </w:rPr>
        <w:t>scurried</w:t>
      </w:r>
      <w:r w:rsidR="008B54D4">
        <w:rPr>
          <w:color w:val="000000"/>
        </w:rPr>
        <w:t>,</w:t>
      </w:r>
      <w:r>
        <w:rPr>
          <w:color w:val="000000"/>
        </w:rPr>
        <w:t xml:space="preserve"> if not crossed the line</w:t>
      </w:r>
      <w:r w:rsidR="008B54D4">
        <w:rPr>
          <w:color w:val="000000"/>
        </w:rPr>
        <w:t>,</w:t>
      </w:r>
      <w:r>
        <w:rPr>
          <w:color w:val="000000"/>
        </w:rPr>
        <w:t xml:space="preserve"> over into bad faith” (</w:t>
      </w:r>
      <w:r>
        <w:rPr>
          <w:i/>
          <w:iCs/>
          <w:color w:val="000000"/>
        </w:rPr>
        <w:t>Kirwan</w:t>
      </w:r>
      <w:r w:rsidR="008B54D4">
        <w:rPr>
          <w:i/>
          <w:iCs/>
          <w:color w:val="000000"/>
        </w:rPr>
        <w:t>,</w:t>
      </w:r>
      <w:r>
        <w:rPr>
          <w:color w:val="000000"/>
        </w:rPr>
        <w:t xml:space="preserve"> </w:t>
      </w:r>
      <w:hyperlink r:id="rId189" w:history="1">
        <w:r>
          <w:rPr>
            <w:color w:val="000000"/>
          </w:rPr>
          <w:t xml:space="preserve">592 </w:t>
        </w:r>
        <w:r w:rsidR="00755A0D">
          <w:rPr>
            <w:color w:val="000000"/>
          </w:rPr>
          <w:t xml:space="preserve">B.R. </w:t>
        </w:r>
        <w:r>
          <w:rPr>
            <w:color w:val="000000"/>
          </w:rPr>
          <w:t>at 499</w:t>
        </w:r>
      </w:hyperlink>
      <w:r>
        <w:rPr>
          <w:color w:val="000000"/>
        </w:rPr>
        <w:t>)</w:t>
      </w:r>
      <w:r w:rsidR="008B54D4">
        <w:rPr>
          <w:color w:val="000000"/>
        </w:rPr>
        <w:t>,</w:t>
      </w:r>
      <w:r>
        <w:rPr>
          <w:color w:val="000000"/>
        </w:rPr>
        <w:t xml:space="preserve"> and said it was “in that context </w:t>
      </w:r>
      <w:r w:rsidR="00110F91">
        <w:rPr>
          <w:color w:val="000000"/>
        </w:rPr>
        <w:t xml:space="preserve">. . . </w:t>
      </w:r>
      <w:r>
        <w:rPr>
          <w:color w:val="000000"/>
        </w:rPr>
        <w:t>that I am prepared to approve the exculpation and injunction provisions of the plan</w:t>
      </w:r>
      <w:r w:rsidR="00FA79C1">
        <w:rPr>
          <w:color w:val="000000"/>
        </w:rPr>
        <w:t xml:space="preserve">.”  </w:t>
      </w:r>
      <w:r w:rsidR="00FD7892">
        <w:rPr>
          <w:i/>
          <w:iCs/>
          <w:color w:val="000000"/>
        </w:rPr>
        <w:t xml:space="preserve">Id. </w:t>
      </w:r>
      <w:r w:rsidR="00AC00F7">
        <w:rPr>
          <w:i/>
          <w:iCs/>
          <w:color w:val="000000"/>
        </w:rPr>
        <w:t xml:space="preserve"> </w:t>
      </w:r>
      <w:r>
        <w:rPr>
          <w:color w:val="000000"/>
        </w:rPr>
        <w:t>He specifically found that the provision was narrowly tailored and necessary in order to forestall “back-door attacks and collateral litigation for their activities related to those things</w:t>
      </w:r>
      <w:r w:rsidR="008B54D4">
        <w:rPr>
          <w:color w:val="000000"/>
        </w:rPr>
        <w:t>,</w:t>
      </w:r>
      <w:r>
        <w:rPr>
          <w:color w:val="000000"/>
        </w:rPr>
        <w:t>” which would impact the reorganized debtor as well the non-debtors who had proceeded in good faith throughout the bankruptcy</w:t>
      </w:r>
      <w:r w:rsidR="006A227C">
        <w:rPr>
          <w:color w:val="000000"/>
        </w:rPr>
        <w:t xml:space="preserve">.  </w:t>
      </w:r>
      <w:r>
        <w:rPr>
          <w:i/>
          <w:iCs/>
          <w:color w:val="000000"/>
        </w:rPr>
        <w:t>Id</w:t>
      </w:r>
      <w:r>
        <w:rPr>
          <w:color w:val="000000"/>
        </w:rPr>
        <w:t>.</w:t>
      </w:r>
    </w:p>
    <w:p w14:paraId="6FE0FF90" w14:textId="084755E9" w:rsidR="00A77BBD" w:rsidRDefault="00A77BBD" w:rsidP="00A77BBD">
      <w:pPr>
        <w:pStyle w:val="BodyTextFirstIndent"/>
      </w:pPr>
      <w:r>
        <w:rPr>
          <w:color w:val="000000"/>
        </w:rPr>
        <w:t>In short</w:t>
      </w:r>
      <w:r w:rsidR="008B54D4">
        <w:rPr>
          <w:color w:val="000000"/>
        </w:rPr>
        <w:t>,</w:t>
      </w:r>
      <w:r>
        <w:rPr>
          <w:color w:val="000000"/>
        </w:rPr>
        <w:t xml:space="preserve"> the injunction affirmed in </w:t>
      </w:r>
      <w:r>
        <w:rPr>
          <w:i/>
          <w:iCs/>
          <w:color w:val="000000"/>
        </w:rPr>
        <w:t>Kirwan</w:t>
      </w:r>
      <w:r>
        <w:rPr>
          <w:color w:val="000000"/>
        </w:rPr>
        <w:t xml:space="preserve"> was plainly one designed to preserve and protect the authority of the bankruptcy court and the integrity of its actions </w:t>
      </w:r>
      <w:r>
        <w:rPr>
          <w:i/>
          <w:iCs/>
          <w:color w:val="000000"/>
        </w:rPr>
        <w:t>vis a vis</w:t>
      </w:r>
      <w:r>
        <w:rPr>
          <w:color w:val="000000"/>
        </w:rPr>
        <w:t xml:space="preserve"> the debtor</w:t>
      </w:r>
      <w:r w:rsidR="008B54D4">
        <w:rPr>
          <w:color w:val="000000"/>
        </w:rPr>
        <w:t>’</w:t>
      </w:r>
      <w:r>
        <w:rPr>
          <w:color w:val="000000"/>
        </w:rPr>
        <w:t>s estate</w:t>
      </w:r>
      <w:r w:rsidR="006A227C">
        <w:rPr>
          <w:color w:val="000000"/>
        </w:rPr>
        <w:t xml:space="preserve">.  </w:t>
      </w:r>
      <w:r>
        <w:rPr>
          <w:color w:val="000000"/>
        </w:rPr>
        <w:t>Unlike the third-party claims in this case</w:t>
      </w:r>
      <w:r w:rsidR="008B54D4">
        <w:rPr>
          <w:color w:val="000000"/>
        </w:rPr>
        <w:t>,</w:t>
      </w:r>
      <w:r>
        <w:rPr>
          <w:color w:val="000000"/>
        </w:rPr>
        <w:t xml:space="preserve"> Lynch</w:t>
      </w:r>
      <w:r w:rsidR="008B54D4">
        <w:rPr>
          <w:color w:val="000000"/>
        </w:rPr>
        <w:t>’</w:t>
      </w:r>
      <w:r>
        <w:rPr>
          <w:color w:val="000000"/>
        </w:rPr>
        <w:t xml:space="preserve">s claims against his erstwhile partnership inherently involved the property of the estate - the relief sought would have redistributed </w:t>
      </w:r>
      <w:r w:rsidR="0012716D">
        <w:rPr>
          <w:color w:val="000000"/>
        </w:rPr>
        <w:t xml:space="preserve">the estate </w:t>
      </w:r>
      <w:r>
        <w:rPr>
          <w:i/>
          <w:iCs/>
          <w:color w:val="000000"/>
        </w:rPr>
        <w:t xml:space="preserve">post hoc </w:t>
      </w:r>
      <w:r>
        <w:rPr>
          <w:color w:val="000000"/>
        </w:rPr>
        <w:t>following the bankruptcy court</w:t>
      </w:r>
      <w:r w:rsidR="008B54D4">
        <w:rPr>
          <w:color w:val="000000"/>
        </w:rPr>
        <w:t>’</w:t>
      </w:r>
      <w:r>
        <w:rPr>
          <w:color w:val="000000"/>
        </w:rPr>
        <w:t>s confirmation of the plan.</w:t>
      </w:r>
    </w:p>
    <w:p w14:paraId="25B91CD8" w14:textId="5140F9D2" w:rsidR="00A77BBD" w:rsidRDefault="00A77BBD" w:rsidP="00A77BBD">
      <w:pPr>
        <w:pStyle w:val="BodyTextFirstIndent"/>
      </w:pPr>
      <w:r>
        <w:rPr>
          <w:color w:val="000000"/>
        </w:rPr>
        <w:t>As noted earlier (</w:t>
      </w:r>
      <w:r>
        <w:rPr>
          <w:i/>
          <w:iCs/>
          <w:color w:val="000000"/>
        </w:rPr>
        <w:t>see</w:t>
      </w:r>
      <w:r>
        <w:rPr>
          <w:color w:val="000000"/>
        </w:rPr>
        <w:t xml:space="preserve"> footnote 56)</w:t>
      </w:r>
      <w:r w:rsidR="008B54D4">
        <w:rPr>
          <w:color w:val="000000"/>
        </w:rPr>
        <w:t>,</w:t>
      </w:r>
      <w:r>
        <w:rPr>
          <w:color w:val="000000"/>
        </w:rPr>
        <w:t xml:space="preserve"> Lynch did not argue</w:t>
      </w:r>
      <w:r w:rsidR="008B54D4">
        <w:rPr>
          <w:color w:val="000000"/>
        </w:rPr>
        <w:t>,</w:t>
      </w:r>
      <w:r>
        <w:rPr>
          <w:color w:val="000000"/>
        </w:rPr>
        <w:t xml:space="preserve"> either in this Court or in the Second Circuit</w:t>
      </w:r>
      <w:r w:rsidR="008B54D4">
        <w:rPr>
          <w:color w:val="000000"/>
        </w:rPr>
        <w:t>,</w:t>
      </w:r>
      <w:r>
        <w:rPr>
          <w:color w:val="000000"/>
        </w:rPr>
        <w:t xml:space="preserve"> that the injunction was not statutorily authorized by the Bankruptcy Code</w:t>
      </w:r>
      <w:r w:rsidR="006A227C">
        <w:rPr>
          <w:color w:val="000000"/>
        </w:rPr>
        <w:t xml:space="preserve">.  </w:t>
      </w:r>
      <w:r>
        <w:rPr>
          <w:color w:val="000000"/>
        </w:rPr>
        <w:t>The grounds asserted and decided were jurisdictional and constitutional</w:t>
      </w:r>
      <w:r w:rsidR="008B54D4">
        <w:rPr>
          <w:color w:val="000000"/>
        </w:rPr>
        <w:t>,</w:t>
      </w:r>
      <w:r>
        <w:rPr>
          <w:color w:val="000000"/>
        </w:rPr>
        <w:t xml:space="preserve"> not statutory</w:t>
      </w:r>
      <w:r w:rsidR="006A227C">
        <w:rPr>
          <w:color w:val="000000"/>
        </w:rPr>
        <w:t xml:space="preserve">.  </w:t>
      </w:r>
      <w:r>
        <w:rPr>
          <w:color w:val="000000"/>
        </w:rPr>
        <w:t>Neither this Court nor the Second Circuit analyzed the question of statutory authority</w:t>
      </w:r>
      <w:r w:rsidR="008B54D4">
        <w:rPr>
          <w:color w:val="000000"/>
        </w:rPr>
        <w:t>,</w:t>
      </w:r>
      <w:r>
        <w:rPr>
          <w:color w:val="000000"/>
        </w:rPr>
        <w:t xml:space="preserve"> even in the context of the very limited and specially targeted injunction that was included in the debtor</w:t>
      </w:r>
      <w:r w:rsidR="008B54D4">
        <w:rPr>
          <w:color w:val="000000"/>
        </w:rPr>
        <w:t>’</w:t>
      </w:r>
      <w:r>
        <w:rPr>
          <w:color w:val="000000"/>
        </w:rPr>
        <w:t>s plan.</w:t>
      </w:r>
    </w:p>
    <w:p w14:paraId="499442BD" w14:textId="392B7040" w:rsidR="00A77BBD" w:rsidRDefault="00A77BBD" w:rsidP="00A77BBD">
      <w:pPr>
        <w:pStyle w:val="BodyTextFirstIndent"/>
        <w:rPr>
          <w:color w:val="000000"/>
        </w:rPr>
      </w:pPr>
      <w:r>
        <w:rPr>
          <w:b/>
          <w:bCs/>
          <w:color w:val="000000"/>
          <w:u w:val="single"/>
        </w:rPr>
        <w:t>Summary of Second Circuit Law</w:t>
      </w:r>
      <w:r>
        <w:rPr>
          <w:color w:val="000000"/>
        </w:rPr>
        <w:t>:  The only fair characterization of the law on the subject of statutory authority to release and enjoin the prosecution of third-party claims against non</w:t>
      </w:r>
      <w:r w:rsidR="00AC00F7">
        <w:rPr>
          <w:color w:val="000000"/>
        </w:rPr>
        <w:t>-</w:t>
      </w:r>
      <w:r>
        <w:rPr>
          <w:color w:val="000000"/>
        </w:rPr>
        <w:t>debtors in a bankruptcy case is</w:t>
      </w:r>
      <w:r w:rsidR="0012716D">
        <w:rPr>
          <w:color w:val="000000"/>
        </w:rPr>
        <w:t xml:space="preserve"> that the question is</w:t>
      </w:r>
      <w:r>
        <w:rPr>
          <w:color w:val="000000"/>
        </w:rPr>
        <w:t xml:space="preserve"> unsettled</w:t>
      </w:r>
      <w:r w:rsidR="008B54D4">
        <w:rPr>
          <w:color w:val="000000"/>
        </w:rPr>
        <w:t>,</w:t>
      </w:r>
      <w:r>
        <w:rPr>
          <w:color w:val="000000"/>
        </w:rPr>
        <w:t xml:space="preserve"> except in asbestos cases</w:t>
      </w:r>
      <w:r w:rsidR="008B54D4">
        <w:rPr>
          <w:color w:val="000000"/>
        </w:rPr>
        <w:t>,</w:t>
      </w:r>
      <w:r>
        <w:rPr>
          <w:color w:val="000000"/>
        </w:rPr>
        <w:t xml:space="preserve"> where statutory authority is clear</w:t>
      </w:r>
      <w:r w:rsidR="006A227C">
        <w:rPr>
          <w:color w:val="000000"/>
        </w:rPr>
        <w:t xml:space="preserve">.  </w:t>
      </w:r>
      <w:r>
        <w:rPr>
          <w:color w:val="000000"/>
        </w:rPr>
        <w:t>Because the Court of Appeals has decided every other case on non-statutory grounds</w:t>
      </w:r>
      <w:r w:rsidR="008B54D4">
        <w:rPr>
          <w:color w:val="000000"/>
        </w:rPr>
        <w:t>,</w:t>
      </w:r>
      <w:r>
        <w:rPr>
          <w:color w:val="000000"/>
        </w:rPr>
        <w:t xml:space="preserve"> its only clear statement is that </w:t>
      </w:r>
      <w:r w:rsidR="0012716D">
        <w:rPr>
          <w:color w:val="000000"/>
        </w:rPr>
        <w:t xml:space="preserve">Bankruptcy Code </w:t>
      </w:r>
      <w:r w:rsidR="000E09FD">
        <w:rPr>
          <w:color w:val="000000"/>
        </w:rPr>
        <w:t>§</w:t>
      </w:r>
      <w:r>
        <w:rPr>
          <w:color w:val="000000"/>
        </w:rPr>
        <w:t>105(a)</w:t>
      </w:r>
      <w:r w:rsidR="008B54D4">
        <w:rPr>
          <w:color w:val="000000"/>
        </w:rPr>
        <w:t>,</w:t>
      </w:r>
      <w:r>
        <w:rPr>
          <w:color w:val="000000"/>
        </w:rPr>
        <w:t xml:space="preserve"> standing alone</w:t>
      </w:r>
      <w:r w:rsidR="008B54D4">
        <w:rPr>
          <w:color w:val="000000"/>
        </w:rPr>
        <w:t>,</w:t>
      </w:r>
      <w:r>
        <w:rPr>
          <w:color w:val="000000"/>
        </w:rPr>
        <w:t xml:space="preserve"> does not confer such authority on the bankruptcy court outside the asbestos context.</w:t>
      </w:r>
    </w:p>
    <w:p w14:paraId="527E291B" w14:textId="77777777" w:rsidR="000E09FD" w:rsidRDefault="000E09FD" w:rsidP="00A77BBD">
      <w:pPr>
        <w:pStyle w:val="BodyTextFirstIndent"/>
      </w:pPr>
    </w:p>
    <w:p w14:paraId="57D1364F" w14:textId="1AA73381" w:rsidR="00A77BBD" w:rsidRPr="00AC00F7" w:rsidRDefault="00A77BBD" w:rsidP="00AC00F7">
      <w:pPr>
        <w:pStyle w:val="Heading4"/>
        <w:rPr>
          <w:u w:val="single"/>
        </w:rPr>
      </w:pPr>
      <w:r w:rsidRPr="00AC00F7">
        <w:rPr>
          <w:u w:val="single"/>
        </w:rPr>
        <w:t>The Law in Other Circuits</w:t>
      </w:r>
    </w:p>
    <w:p w14:paraId="101D52E3" w14:textId="0C05C51B" w:rsidR="00A77BBD" w:rsidRDefault="00A77BBD" w:rsidP="00A77BBD">
      <w:pPr>
        <w:pStyle w:val="BodyTextFirstIndent"/>
      </w:pPr>
      <w:r>
        <w:rPr>
          <w:color w:val="000000"/>
        </w:rPr>
        <w:t>All but three of the other Circuits have spoken directly to the issue of statutory authority</w:t>
      </w:r>
      <w:r w:rsidR="006A227C">
        <w:rPr>
          <w:color w:val="000000"/>
        </w:rPr>
        <w:t xml:space="preserve">.  </w:t>
      </w:r>
      <w:r>
        <w:rPr>
          <w:color w:val="000000"/>
        </w:rPr>
        <w:t>They have reached conflicting results - a most unfortunate circumstance when dealing with a supposedly uniform and comprehensive nationwide scheme to adjust debtor-creditor relations.</w:t>
      </w:r>
    </w:p>
    <w:p w14:paraId="50018E4E" w14:textId="2A7F1EDE" w:rsidR="00A77BBD" w:rsidRDefault="00A77BBD" w:rsidP="00A77BBD">
      <w:pPr>
        <w:pStyle w:val="BodyTextFirstIndent"/>
      </w:pPr>
      <w:r>
        <w:rPr>
          <w:color w:val="000000"/>
        </w:rPr>
        <w:t>Three of the eleven Circuits - the Fifth</w:t>
      </w:r>
      <w:r w:rsidR="008B54D4">
        <w:rPr>
          <w:color w:val="000000"/>
        </w:rPr>
        <w:t>,</w:t>
      </w:r>
      <w:r>
        <w:rPr>
          <w:color w:val="000000"/>
        </w:rPr>
        <w:t xml:space="preserve"> Ninth</w:t>
      </w:r>
      <w:r w:rsidR="008B54D4">
        <w:rPr>
          <w:color w:val="000000"/>
        </w:rPr>
        <w:t>,</w:t>
      </w:r>
      <w:r>
        <w:rPr>
          <w:color w:val="000000"/>
        </w:rPr>
        <w:t xml:space="preserve"> and Tenth - reject entirely the notion that a court can authorize non-debtor releases outside the asbestos context</w:t>
      </w:r>
      <w:r w:rsidR="006A227C">
        <w:rPr>
          <w:color w:val="000000"/>
        </w:rPr>
        <w:t xml:space="preserve">.  </w:t>
      </w:r>
      <w:r>
        <w:rPr>
          <w:i/>
          <w:iCs/>
          <w:color w:val="000000"/>
        </w:rPr>
        <w:t>See In re Pacific Lumber Co</w:t>
      </w:r>
      <w:r>
        <w:rPr>
          <w:color w:val="000000"/>
        </w:rPr>
        <w:t>.</w:t>
      </w:r>
      <w:r w:rsidR="008B54D4">
        <w:rPr>
          <w:color w:val="000000"/>
        </w:rPr>
        <w:t>,</w:t>
      </w:r>
      <w:r>
        <w:rPr>
          <w:color w:val="000000"/>
        </w:rPr>
        <w:t xml:space="preserve"> </w:t>
      </w:r>
      <w:hyperlink r:id="rId190" w:history="1">
        <w:r>
          <w:rPr>
            <w:color w:val="000000"/>
          </w:rPr>
          <w:t>584 F.3d 229</w:t>
        </w:r>
        <w:r w:rsidR="008B54D4">
          <w:rPr>
            <w:color w:val="000000"/>
          </w:rPr>
          <w:t>,</w:t>
        </w:r>
        <w:r>
          <w:rPr>
            <w:color w:val="000000"/>
          </w:rPr>
          <w:t xml:space="preserve"> 252 </w:t>
        </w:r>
      </w:hyperlink>
      <w:r>
        <w:rPr>
          <w:color w:val="000000"/>
        </w:rPr>
        <w:t xml:space="preserve">(5th </w:t>
      </w:r>
      <w:r w:rsidR="00E97455">
        <w:rPr>
          <w:color w:val="000000"/>
        </w:rPr>
        <w:t xml:space="preserve">Cir. </w:t>
      </w:r>
      <w:r>
        <w:rPr>
          <w:color w:val="000000"/>
        </w:rPr>
        <w:t xml:space="preserve">2009); </w:t>
      </w:r>
      <w:r>
        <w:rPr>
          <w:i/>
          <w:iCs/>
          <w:color w:val="000000"/>
        </w:rPr>
        <w:t>In re Lowenschuss</w:t>
      </w:r>
      <w:r w:rsidR="008B54D4">
        <w:rPr>
          <w:color w:val="000000"/>
        </w:rPr>
        <w:t>,</w:t>
      </w:r>
      <w:r>
        <w:rPr>
          <w:color w:val="000000"/>
        </w:rPr>
        <w:t xml:space="preserve"> </w:t>
      </w:r>
      <w:hyperlink r:id="rId191" w:history="1">
        <w:r>
          <w:rPr>
            <w:color w:val="000000"/>
          </w:rPr>
          <w:t>67 F.3d 1394</w:t>
        </w:r>
        <w:r w:rsidR="008B54D4">
          <w:rPr>
            <w:color w:val="000000"/>
          </w:rPr>
          <w:t>,</w:t>
        </w:r>
        <w:r>
          <w:rPr>
            <w:color w:val="000000"/>
          </w:rPr>
          <w:t xml:space="preserve"> 1401-02 </w:t>
        </w:r>
      </w:hyperlink>
      <w:r>
        <w:rPr>
          <w:color w:val="000000"/>
        </w:rPr>
        <w:t xml:space="preserve">(9th </w:t>
      </w:r>
      <w:r w:rsidR="00E97455">
        <w:rPr>
          <w:color w:val="000000"/>
        </w:rPr>
        <w:t xml:space="preserve">Cir. </w:t>
      </w:r>
      <w:r>
        <w:rPr>
          <w:color w:val="000000"/>
        </w:rPr>
        <w:t xml:space="preserve">1995); </w:t>
      </w:r>
      <w:r>
        <w:rPr>
          <w:i/>
          <w:iCs/>
          <w:color w:val="000000"/>
        </w:rPr>
        <w:t>In re W</w:t>
      </w:r>
      <w:r w:rsidR="006A227C">
        <w:rPr>
          <w:i/>
          <w:iCs/>
          <w:color w:val="000000"/>
        </w:rPr>
        <w:t xml:space="preserve">. </w:t>
      </w:r>
      <w:r>
        <w:rPr>
          <w:i/>
          <w:iCs/>
          <w:color w:val="000000"/>
        </w:rPr>
        <w:t>Real Estate Fund</w:t>
      </w:r>
      <w:r w:rsidR="008B54D4">
        <w:rPr>
          <w:color w:val="000000"/>
        </w:rPr>
        <w:t>,</w:t>
      </w:r>
      <w:r>
        <w:rPr>
          <w:color w:val="000000"/>
        </w:rPr>
        <w:t xml:space="preserve"> </w:t>
      </w:r>
      <w:hyperlink r:id="rId192" w:history="1">
        <w:r>
          <w:rPr>
            <w:color w:val="000000"/>
          </w:rPr>
          <w:t>922 F.2d 592</w:t>
        </w:r>
        <w:r w:rsidR="008B54D4">
          <w:rPr>
            <w:color w:val="000000"/>
          </w:rPr>
          <w:t>,</w:t>
        </w:r>
        <w:r>
          <w:rPr>
            <w:color w:val="000000"/>
          </w:rPr>
          <w:t xml:space="preserve"> 600 </w:t>
        </w:r>
      </w:hyperlink>
      <w:r>
        <w:rPr>
          <w:color w:val="000000"/>
        </w:rPr>
        <w:t xml:space="preserve">(10th </w:t>
      </w:r>
      <w:r w:rsidR="00E97455">
        <w:rPr>
          <w:color w:val="000000"/>
        </w:rPr>
        <w:t xml:space="preserve">Cir. </w:t>
      </w:r>
      <w:r>
        <w:rPr>
          <w:color w:val="000000"/>
        </w:rPr>
        <w:t>1990)</w:t>
      </w:r>
      <w:r w:rsidR="006A227C">
        <w:rPr>
          <w:color w:val="000000"/>
        </w:rPr>
        <w:t xml:space="preserve">.  </w:t>
      </w:r>
      <w:r>
        <w:rPr>
          <w:color w:val="000000"/>
        </w:rPr>
        <w:t>Those courts read §</w:t>
      </w:r>
      <w:r w:rsidR="00AC00F7">
        <w:rPr>
          <w:color w:val="000000"/>
        </w:rPr>
        <w:t> </w:t>
      </w:r>
      <w:r>
        <w:rPr>
          <w:color w:val="000000"/>
        </w:rPr>
        <w:t>524(e) as barring the granting of such relief - put otherwise</w:t>
      </w:r>
      <w:r w:rsidR="008B54D4">
        <w:rPr>
          <w:color w:val="000000"/>
        </w:rPr>
        <w:t>,</w:t>
      </w:r>
      <w:r>
        <w:rPr>
          <w:color w:val="000000"/>
        </w:rPr>
        <w:t xml:space="preserve"> they under</w:t>
      </w:r>
      <w:r w:rsidR="003E441B">
        <w:rPr>
          <w:color w:val="000000"/>
        </w:rPr>
        <w:t>stand</w:t>
      </w:r>
      <w:r>
        <w:rPr>
          <w:color w:val="000000"/>
        </w:rPr>
        <w:t xml:space="preserve"> Congress</w:t>
      </w:r>
      <w:r w:rsidR="008B54D4">
        <w:rPr>
          <w:color w:val="000000"/>
        </w:rPr>
        <w:t>’</w:t>
      </w:r>
      <w:r>
        <w:rPr>
          <w:color w:val="000000"/>
        </w:rPr>
        <w:t xml:space="preserve"> use of the phrase “Notwithstanding the provisions of §524(e)” in § 524(g) as creating an exception to an otherwise applicable rule.</w:t>
      </w:r>
    </w:p>
    <w:p w14:paraId="66BD16E2" w14:textId="13D92E92" w:rsidR="00A77BBD" w:rsidRDefault="00A77BBD" w:rsidP="00A77BBD">
      <w:pPr>
        <w:pStyle w:val="BodyTextFirstIndent"/>
      </w:pPr>
      <w:r>
        <w:rPr>
          <w:color w:val="000000"/>
        </w:rPr>
        <w:t>The Third Circuit also has not identified any section of the Bankruptcy Code that authorizes such non-debtor releases</w:t>
      </w:r>
      <w:r w:rsidR="006A227C">
        <w:rPr>
          <w:color w:val="000000"/>
        </w:rPr>
        <w:t xml:space="preserve">.  </w:t>
      </w:r>
      <w:r>
        <w:rPr>
          <w:color w:val="000000"/>
        </w:rPr>
        <w:t xml:space="preserve">Judge </w:t>
      </w:r>
      <w:r w:rsidR="00E82FD6">
        <w:rPr>
          <w:color w:val="000000"/>
        </w:rPr>
        <w:t>Wains</w:t>
      </w:r>
      <w:r>
        <w:rPr>
          <w:color w:val="000000"/>
        </w:rPr>
        <w:t xml:space="preserve"> points to </w:t>
      </w:r>
      <w:r>
        <w:rPr>
          <w:i/>
          <w:iCs/>
          <w:color w:val="000000"/>
        </w:rPr>
        <w:t>In re Millennium Lab Holdings II</w:t>
      </w:r>
      <w:r w:rsidR="008B54D4">
        <w:rPr>
          <w:i/>
          <w:iCs/>
          <w:color w:val="000000"/>
        </w:rPr>
        <w:t>,</w:t>
      </w:r>
      <w:r>
        <w:rPr>
          <w:i/>
          <w:iCs/>
          <w:color w:val="000000"/>
        </w:rPr>
        <w:t xml:space="preserve"> LLC</w:t>
      </w:r>
      <w:r w:rsidR="008B54D4">
        <w:rPr>
          <w:color w:val="000000"/>
        </w:rPr>
        <w:t>,</w:t>
      </w:r>
      <w:hyperlink r:id="rId193" w:history="1">
        <w:r>
          <w:rPr>
            <w:color w:val="000000"/>
          </w:rPr>
          <w:t xml:space="preserve"> 945 F.3d</w:t>
        </w:r>
      </w:hyperlink>
      <w:r>
        <w:rPr>
          <w:color w:val="000000"/>
        </w:rPr>
        <w:t xml:space="preserve"> </w:t>
      </w:r>
      <w:hyperlink r:id="rId194" w:history="1">
        <w:r>
          <w:rPr>
            <w:color w:val="000000"/>
          </w:rPr>
          <w:t>126</w:t>
        </w:r>
        <w:r w:rsidR="008B54D4">
          <w:rPr>
            <w:color w:val="000000"/>
          </w:rPr>
          <w:t>,</w:t>
        </w:r>
        <w:r>
          <w:rPr>
            <w:color w:val="000000"/>
          </w:rPr>
          <w:t xml:space="preserve"> 133-40 </w:t>
        </w:r>
      </w:hyperlink>
      <w:r>
        <w:rPr>
          <w:color w:val="000000"/>
        </w:rPr>
        <w:t xml:space="preserve">(3d </w:t>
      </w:r>
      <w:r w:rsidR="00E97455">
        <w:rPr>
          <w:color w:val="000000"/>
        </w:rPr>
        <w:t xml:space="preserve">Cir. </w:t>
      </w:r>
      <w:r>
        <w:rPr>
          <w:color w:val="000000"/>
        </w:rPr>
        <w:t>2019) (</w:t>
      </w:r>
      <w:r>
        <w:rPr>
          <w:i/>
          <w:iCs/>
          <w:color w:val="000000"/>
        </w:rPr>
        <w:t xml:space="preserve">In re </w:t>
      </w:r>
      <w:r w:rsidR="006239B5">
        <w:rPr>
          <w:i/>
          <w:iCs/>
          <w:color w:val="000000"/>
        </w:rPr>
        <w:t>Oxy</w:t>
      </w:r>
      <w:r>
        <w:rPr>
          <w:i/>
          <w:iCs/>
          <w:color w:val="000000"/>
        </w:rPr>
        <w:t xml:space="preserve"> Pharma L.P.</w:t>
      </w:r>
      <w:r w:rsidR="008B54D4" w:rsidRPr="00AC00F7">
        <w:rPr>
          <w:color w:val="000000"/>
        </w:rPr>
        <w:t>,</w:t>
      </w:r>
      <w:r>
        <w:rPr>
          <w:color w:val="000000"/>
        </w:rPr>
        <w:t xml:space="preserve"> </w:t>
      </w:r>
      <w:hyperlink r:id="rId195" w:history="1">
        <w:r>
          <w:rPr>
            <w:color w:val="000000"/>
          </w:rPr>
          <w:t>2021 WL 4240974</w:t>
        </w:r>
      </w:hyperlink>
      <w:r w:rsidR="008B54D4">
        <w:rPr>
          <w:color w:val="000000"/>
        </w:rPr>
        <w:t>,</w:t>
      </w:r>
      <w:r>
        <w:rPr>
          <w:color w:val="000000"/>
        </w:rPr>
        <w:t xml:space="preserve"> at *40)</w:t>
      </w:r>
      <w:r w:rsidR="008B54D4">
        <w:rPr>
          <w:color w:val="000000"/>
        </w:rPr>
        <w:t>,</w:t>
      </w:r>
      <w:r>
        <w:rPr>
          <w:color w:val="000000"/>
        </w:rPr>
        <w:t xml:space="preserve"> but as in the Second Circuit cases like </w:t>
      </w:r>
      <w:r>
        <w:rPr>
          <w:i/>
          <w:iCs/>
          <w:color w:val="000000"/>
        </w:rPr>
        <w:t>Manville III/IV</w:t>
      </w:r>
      <w:r>
        <w:rPr>
          <w:color w:val="000000"/>
        </w:rPr>
        <w:t xml:space="preserve"> and </w:t>
      </w:r>
      <w:r>
        <w:rPr>
          <w:i/>
          <w:iCs/>
          <w:color w:val="000000"/>
        </w:rPr>
        <w:t>Tronox</w:t>
      </w:r>
      <w:r w:rsidR="008B54D4">
        <w:rPr>
          <w:color w:val="000000"/>
        </w:rPr>
        <w:t>,</w:t>
      </w:r>
      <w:r>
        <w:rPr>
          <w:color w:val="000000"/>
        </w:rPr>
        <w:t xml:space="preserve"> the Third Circuit does not discuss statutory authority in that case</w:t>
      </w:r>
      <w:r w:rsidR="006A227C">
        <w:rPr>
          <w:color w:val="000000"/>
        </w:rPr>
        <w:t xml:space="preserve">.  </w:t>
      </w:r>
      <w:r>
        <w:rPr>
          <w:color w:val="000000"/>
        </w:rPr>
        <w:t>Instead</w:t>
      </w:r>
      <w:r w:rsidR="008B54D4">
        <w:rPr>
          <w:color w:val="000000"/>
        </w:rPr>
        <w:t>,</w:t>
      </w:r>
      <w:r>
        <w:rPr>
          <w:color w:val="000000"/>
        </w:rPr>
        <w:t xml:space="preserve"> the </w:t>
      </w:r>
      <w:r>
        <w:rPr>
          <w:i/>
          <w:iCs/>
          <w:color w:val="000000"/>
        </w:rPr>
        <w:t>Millennium</w:t>
      </w:r>
      <w:r>
        <w:rPr>
          <w:color w:val="000000"/>
        </w:rPr>
        <w:t xml:space="preserve"> court concluded that the bankruptcy court had </w:t>
      </w:r>
      <w:r>
        <w:rPr>
          <w:i/>
          <w:iCs/>
          <w:color w:val="000000"/>
        </w:rPr>
        <w:t>constitutional</w:t>
      </w:r>
      <w:r>
        <w:rPr>
          <w:color w:val="000000"/>
        </w:rPr>
        <w:t xml:space="preserve"> authority to extinguish certain third-party claims by confirming a chapter 11 plan</w:t>
      </w:r>
      <w:r w:rsidR="006A227C">
        <w:rPr>
          <w:color w:val="000000"/>
        </w:rPr>
        <w:t xml:space="preserve">.  </w:t>
      </w:r>
      <w:r>
        <w:rPr>
          <w:i/>
          <w:iCs/>
          <w:color w:val="000000"/>
        </w:rPr>
        <w:t>In re Millennium Lab Holdings II</w:t>
      </w:r>
      <w:r w:rsidR="008B54D4">
        <w:rPr>
          <w:i/>
          <w:iCs/>
          <w:color w:val="000000"/>
        </w:rPr>
        <w:t>,</w:t>
      </w:r>
      <w:r>
        <w:rPr>
          <w:i/>
          <w:iCs/>
          <w:color w:val="000000"/>
        </w:rPr>
        <w:t xml:space="preserve"> LLC</w:t>
      </w:r>
      <w:r w:rsidR="008B54D4">
        <w:rPr>
          <w:color w:val="000000"/>
        </w:rPr>
        <w:t>,</w:t>
      </w:r>
      <w:hyperlink r:id="rId196" w:history="1">
        <w:r>
          <w:rPr>
            <w:color w:val="000000"/>
          </w:rPr>
          <w:t xml:space="preserve"> 945 F.3d 139-40</w:t>
        </w:r>
      </w:hyperlink>
      <w:r>
        <w:rPr>
          <w:color w:val="000000"/>
        </w:rPr>
        <w:t>.</w:t>
      </w:r>
    </w:p>
    <w:p w14:paraId="7F23C00D" w14:textId="5410EBA5" w:rsidR="00A77BBD" w:rsidRDefault="00A77BBD" w:rsidP="00A77BBD">
      <w:pPr>
        <w:pStyle w:val="BodyTextFirstIndent"/>
      </w:pPr>
      <w:r>
        <w:rPr>
          <w:color w:val="000000"/>
        </w:rPr>
        <w:t>On those occasions when the Third Circuit did address a bankruptcy court</w:t>
      </w:r>
      <w:r w:rsidR="008B54D4">
        <w:rPr>
          <w:color w:val="000000"/>
        </w:rPr>
        <w:t>’</w:t>
      </w:r>
      <w:r>
        <w:rPr>
          <w:color w:val="000000"/>
        </w:rPr>
        <w:t xml:space="preserve">s </w:t>
      </w:r>
      <w:r>
        <w:rPr>
          <w:i/>
          <w:iCs/>
          <w:color w:val="000000"/>
        </w:rPr>
        <w:t xml:space="preserve">statutory </w:t>
      </w:r>
      <w:r>
        <w:rPr>
          <w:color w:val="000000"/>
        </w:rPr>
        <w:t>authority to impose non-debtor releases</w:t>
      </w:r>
      <w:r w:rsidR="008B54D4">
        <w:rPr>
          <w:color w:val="000000"/>
        </w:rPr>
        <w:t>,</w:t>
      </w:r>
      <w:r>
        <w:rPr>
          <w:color w:val="000000"/>
        </w:rPr>
        <w:t xml:space="preserve"> it overturned bankruptcy court orders granting them</w:t>
      </w:r>
      <w:r w:rsidR="006A227C">
        <w:rPr>
          <w:color w:val="000000"/>
        </w:rPr>
        <w:t xml:space="preserve">.  </w:t>
      </w:r>
      <w:r>
        <w:rPr>
          <w:color w:val="000000"/>
        </w:rPr>
        <w:t>For example</w:t>
      </w:r>
      <w:r w:rsidR="008B54D4">
        <w:rPr>
          <w:color w:val="000000"/>
        </w:rPr>
        <w:t>,</w:t>
      </w:r>
      <w:r>
        <w:rPr>
          <w:color w:val="000000"/>
        </w:rPr>
        <w:t xml:space="preserve"> in </w:t>
      </w:r>
      <w:r>
        <w:rPr>
          <w:i/>
          <w:iCs/>
          <w:color w:val="000000"/>
        </w:rPr>
        <w:t xml:space="preserve">In re </w:t>
      </w:r>
      <w:r w:rsidR="003B7D4B">
        <w:rPr>
          <w:i/>
          <w:iCs/>
          <w:color w:val="000000"/>
        </w:rPr>
        <w:t>Cantin</w:t>
      </w:r>
      <w:r>
        <w:rPr>
          <w:i/>
          <w:iCs/>
          <w:color w:val="000000"/>
        </w:rPr>
        <w:t>ental Airlines</w:t>
      </w:r>
      <w:r w:rsidR="008B54D4">
        <w:rPr>
          <w:color w:val="000000"/>
        </w:rPr>
        <w:t>,</w:t>
      </w:r>
      <w:r>
        <w:rPr>
          <w:color w:val="000000"/>
        </w:rPr>
        <w:t xml:space="preserve"> </w:t>
      </w:r>
      <w:hyperlink r:id="rId197" w:history="1">
        <w:r>
          <w:rPr>
            <w:color w:val="000000"/>
          </w:rPr>
          <w:t xml:space="preserve">203 F.3d 203 </w:t>
        </w:r>
      </w:hyperlink>
      <w:r>
        <w:rPr>
          <w:color w:val="000000"/>
        </w:rPr>
        <w:t xml:space="preserve">(3d </w:t>
      </w:r>
      <w:r w:rsidR="00E97455">
        <w:rPr>
          <w:color w:val="000000"/>
        </w:rPr>
        <w:t xml:space="preserve">Cir. </w:t>
      </w:r>
      <w:r>
        <w:rPr>
          <w:color w:val="000000"/>
        </w:rPr>
        <w:t>2000)</w:t>
      </w:r>
      <w:r w:rsidR="008B54D4">
        <w:rPr>
          <w:color w:val="000000"/>
        </w:rPr>
        <w:t>,</w:t>
      </w:r>
      <w:r>
        <w:rPr>
          <w:color w:val="000000"/>
        </w:rPr>
        <w:t xml:space="preserve"> the Court of Appeals </w:t>
      </w:r>
      <w:r>
        <w:rPr>
          <w:i/>
          <w:iCs/>
          <w:color w:val="000000"/>
        </w:rPr>
        <w:t>rejected as extra-statutory</w:t>
      </w:r>
      <w:r>
        <w:rPr>
          <w:color w:val="000000"/>
        </w:rPr>
        <w:t xml:space="preserve"> the provision in a plan of reorganization that released claims against current and former directors of </w:t>
      </w:r>
      <w:r w:rsidR="003B7D4B">
        <w:rPr>
          <w:color w:val="000000"/>
        </w:rPr>
        <w:t>Cantin</w:t>
      </w:r>
      <w:r>
        <w:rPr>
          <w:color w:val="000000"/>
        </w:rPr>
        <w:t>ental</w:t>
      </w:r>
      <w:r w:rsidR="008B54D4">
        <w:rPr>
          <w:color w:val="000000"/>
        </w:rPr>
        <w:t>,</w:t>
      </w:r>
      <w:r>
        <w:rPr>
          <w:color w:val="000000"/>
        </w:rPr>
        <w:t xml:space="preserve"> and that permanently enjoined shareholder actions against them</w:t>
      </w:r>
      <w:r w:rsidR="008B54D4">
        <w:rPr>
          <w:color w:val="000000"/>
        </w:rPr>
        <w:t>,</w:t>
      </w:r>
      <w:r>
        <w:rPr>
          <w:color w:val="000000"/>
        </w:rPr>
        <w:t xml:space="preserve"> finding that the Bankruptcy Code “does not explicitly authorize the release and permanent injunction of claims against non-debtors</w:t>
      </w:r>
      <w:r w:rsidR="008B54D4">
        <w:rPr>
          <w:color w:val="000000"/>
        </w:rPr>
        <w:t>,</w:t>
      </w:r>
      <w:r>
        <w:rPr>
          <w:color w:val="000000"/>
        </w:rPr>
        <w:t xml:space="preserve"> except in one instance not applicable here” - that being asbestos cases</w:t>
      </w:r>
      <w:r w:rsidR="006A227C">
        <w:rPr>
          <w:color w:val="000000"/>
        </w:rPr>
        <w:t xml:space="preserve">.  </w:t>
      </w:r>
      <w:r w:rsidR="00FD7892">
        <w:rPr>
          <w:i/>
          <w:iCs/>
          <w:color w:val="000000"/>
        </w:rPr>
        <w:t xml:space="preserve">Id. </w:t>
      </w:r>
      <w:r>
        <w:rPr>
          <w:color w:val="000000"/>
        </w:rPr>
        <w:t>at 211;</w:t>
      </w:r>
      <w:hyperlink r:id="rId198" w:history="1">
        <w:r>
          <w:rPr>
            <w:color w:val="000000"/>
          </w:rPr>
          <w:t xml:space="preserve"> 11 </w:t>
        </w:r>
        <w:r w:rsidR="00522B24">
          <w:rPr>
            <w:color w:val="000000"/>
          </w:rPr>
          <w:t xml:space="preserve">U.S.C. </w:t>
        </w:r>
        <w:r>
          <w:rPr>
            <w:color w:val="000000"/>
          </w:rPr>
          <w:t>§ 524(g)</w:t>
        </w:r>
      </w:hyperlink>
      <w:r w:rsidR="006A227C">
        <w:rPr>
          <w:color w:val="000000"/>
        </w:rPr>
        <w:t xml:space="preserve">.  </w:t>
      </w:r>
      <w:r>
        <w:rPr>
          <w:color w:val="000000"/>
        </w:rPr>
        <w:t xml:space="preserve">And in </w:t>
      </w:r>
      <w:r>
        <w:rPr>
          <w:i/>
          <w:iCs/>
          <w:color w:val="000000"/>
        </w:rPr>
        <w:t>In re Combustion Engineering</w:t>
      </w:r>
      <w:r w:rsidR="008B54D4">
        <w:rPr>
          <w:i/>
          <w:iCs/>
          <w:color w:val="000000"/>
        </w:rPr>
        <w:t>,</w:t>
      </w:r>
      <w:r>
        <w:rPr>
          <w:i/>
          <w:iCs/>
          <w:color w:val="000000"/>
        </w:rPr>
        <w:t xml:space="preserve"> Inc.</w:t>
      </w:r>
      <w:r w:rsidR="008B54D4">
        <w:rPr>
          <w:color w:val="000000"/>
        </w:rPr>
        <w:t>,</w:t>
      </w:r>
      <w:hyperlink r:id="rId199" w:history="1">
        <w:r>
          <w:rPr>
            <w:color w:val="000000"/>
          </w:rPr>
          <w:t xml:space="preserve"> 391</w:t>
        </w:r>
      </w:hyperlink>
      <w:r>
        <w:rPr>
          <w:color w:val="000000"/>
        </w:rPr>
        <w:t xml:space="preserve"> </w:t>
      </w:r>
      <w:hyperlink r:id="rId200" w:history="1">
        <w:r>
          <w:rPr>
            <w:color w:val="000000"/>
          </w:rPr>
          <w:t xml:space="preserve">F.3d 190 </w:t>
        </w:r>
      </w:hyperlink>
      <w:r>
        <w:rPr>
          <w:color w:val="000000"/>
        </w:rPr>
        <w:t xml:space="preserve">(3d </w:t>
      </w:r>
      <w:r w:rsidR="00E97455">
        <w:rPr>
          <w:color w:val="000000"/>
        </w:rPr>
        <w:t xml:space="preserve">Cir. </w:t>
      </w:r>
      <w:r>
        <w:rPr>
          <w:color w:val="000000"/>
        </w:rPr>
        <w:t>2004)</w:t>
      </w:r>
      <w:r w:rsidR="008B54D4">
        <w:rPr>
          <w:color w:val="000000"/>
        </w:rPr>
        <w:t>,</w:t>
      </w:r>
      <w:r>
        <w:rPr>
          <w:color w:val="000000"/>
        </w:rPr>
        <w:t xml:space="preserve"> the Third Circuit</w:t>
      </w:r>
      <w:r w:rsidR="008B54D4">
        <w:rPr>
          <w:color w:val="000000"/>
        </w:rPr>
        <w:t>,</w:t>
      </w:r>
      <w:r>
        <w:rPr>
          <w:color w:val="000000"/>
        </w:rPr>
        <w:t xml:space="preserve"> like the Second Circuit in </w:t>
      </w:r>
      <w:r>
        <w:rPr>
          <w:i/>
          <w:iCs/>
          <w:color w:val="000000"/>
        </w:rPr>
        <w:t>Metromedia</w:t>
      </w:r>
      <w:r w:rsidR="008B54D4">
        <w:rPr>
          <w:color w:val="000000"/>
        </w:rPr>
        <w:t>,</w:t>
      </w:r>
      <w:r>
        <w:rPr>
          <w:color w:val="000000"/>
        </w:rPr>
        <w:t xml:space="preserve"> held that Section 105(a) does not give the court the power to create substantive rights that would otherwise be unavailable under the Bankruptcy Code</w:t>
      </w:r>
      <w:r w:rsidR="008B54D4">
        <w:rPr>
          <w:color w:val="000000"/>
        </w:rPr>
        <w:t>,</w:t>
      </w:r>
      <w:r>
        <w:rPr>
          <w:color w:val="000000"/>
        </w:rPr>
        <w:t xml:space="preserve"> and vacated the channeling injunction</w:t>
      </w:r>
      <w:r w:rsidR="006A227C">
        <w:rPr>
          <w:color w:val="000000"/>
        </w:rPr>
        <w:t xml:space="preserve">.  </w:t>
      </w:r>
      <w:r w:rsidR="00FD7892">
        <w:rPr>
          <w:i/>
          <w:iCs/>
          <w:color w:val="000000"/>
        </w:rPr>
        <w:t xml:space="preserve">Id. </w:t>
      </w:r>
      <w:r>
        <w:rPr>
          <w:color w:val="000000"/>
        </w:rPr>
        <w:t>at 238</w:t>
      </w:r>
      <w:r w:rsidR="006A227C">
        <w:rPr>
          <w:color w:val="000000"/>
        </w:rPr>
        <w:t xml:space="preserve">.  </w:t>
      </w:r>
      <w:r>
        <w:rPr>
          <w:color w:val="000000"/>
        </w:rPr>
        <w:t xml:space="preserve">Neither </w:t>
      </w:r>
      <w:r w:rsidR="003B7D4B">
        <w:rPr>
          <w:i/>
          <w:iCs/>
          <w:color w:val="000000"/>
        </w:rPr>
        <w:t>Cantin</w:t>
      </w:r>
      <w:r>
        <w:rPr>
          <w:i/>
          <w:iCs/>
          <w:color w:val="000000"/>
        </w:rPr>
        <w:t>ental Airlines</w:t>
      </w:r>
      <w:r>
        <w:rPr>
          <w:color w:val="000000"/>
        </w:rPr>
        <w:t xml:space="preserve"> nor </w:t>
      </w:r>
      <w:r>
        <w:rPr>
          <w:i/>
          <w:iCs/>
          <w:color w:val="000000"/>
        </w:rPr>
        <w:t>Combustion Engineering</w:t>
      </w:r>
      <w:r>
        <w:rPr>
          <w:color w:val="000000"/>
        </w:rPr>
        <w:t xml:space="preserve"> has ever been overruled by the Third Circuit.</w:t>
      </w:r>
    </w:p>
    <w:p w14:paraId="198BBEC4" w14:textId="69CFEA09" w:rsidR="00A77BBD" w:rsidRDefault="00A77BBD" w:rsidP="00A77BBD">
      <w:pPr>
        <w:pStyle w:val="BodyTextFirstIndent"/>
      </w:pPr>
      <w:r>
        <w:rPr>
          <w:color w:val="000000"/>
        </w:rPr>
        <w:t>The First</w:t>
      </w:r>
      <w:r w:rsidR="008B54D4">
        <w:rPr>
          <w:color w:val="000000"/>
        </w:rPr>
        <w:t>,</w:t>
      </w:r>
      <w:r>
        <w:rPr>
          <w:color w:val="000000"/>
        </w:rPr>
        <w:t xml:space="preserve"> Eighth</w:t>
      </w:r>
      <w:r w:rsidR="008B54D4">
        <w:rPr>
          <w:color w:val="000000"/>
        </w:rPr>
        <w:t>,</w:t>
      </w:r>
      <w:r>
        <w:rPr>
          <w:color w:val="000000"/>
        </w:rPr>
        <w:t xml:space="preserve"> and </w:t>
      </w:r>
      <w:r w:rsidR="00013BBA">
        <w:rPr>
          <w:color w:val="000000"/>
        </w:rPr>
        <w:t xml:space="preserve">D.C. </w:t>
      </w:r>
      <w:r>
        <w:rPr>
          <w:color w:val="000000"/>
        </w:rPr>
        <w:t>Circuits have yet to weigh in on the question of whether statutory authority to impose non-debtor releases exists</w:t>
      </w:r>
      <w:r w:rsidR="006A227C">
        <w:rPr>
          <w:color w:val="000000"/>
        </w:rPr>
        <w:t xml:space="preserve">.  </w:t>
      </w:r>
      <w:r>
        <w:rPr>
          <w:color w:val="000000"/>
        </w:rPr>
        <w:t xml:space="preserve">Judge </w:t>
      </w:r>
      <w:r w:rsidR="00E82FD6">
        <w:rPr>
          <w:color w:val="000000"/>
        </w:rPr>
        <w:t>Wains</w:t>
      </w:r>
      <w:r>
        <w:rPr>
          <w:color w:val="000000"/>
        </w:rPr>
        <w:t xml:space="preserve"> contends that the First Circuit did decide that issue in </w:t>
      </w:r>
      <w:r>
        <w:rPr>
          <w:i/>
          <w:iCs/>
          <w:color w:val="000000"/>
        </w:rPr>
        <w:t>Monarch Life Ins</w:t>
      </w:r>
      <w:r w:rsidR="006A227C">
        <w:rPr>
          <w:i/>
          <w:iCs/>
          <w:color w:val="000000"/>
        </w:rPr>
        <w:t xml:space="preserve">. </w:t>
      </w:r>
      <w:r w:rsidR="000D3228">
        <w:rPr>
          <w:i/>
          <w:iCs/>
          <w:color w:val="000000"/>
        </w:rPr>
        <w:t xml:space="preserve">Co. </w:t>
      </w:r>
      <w:r w:rsidR="00E150C1">
        <w:rPr>
          <w:i/>
          <w:iCs/>
          <w:color w:val="000000"/>
        </w:rPr>
        <w:t xml:space="preserve">v. </w:t>
      </w:r>
      <w:r>
        <w:rPr>
          <w:i/>
          <w:iCs/>
          <w:color w:val="000000"/>
        </w:rPr>
        <w:t>Ropes &amp; Gray</w:t>
      </w:r>
      <w:r w:rsidR="008B54D4">
        <w:rPr>
          <w:color w:val="000000"/>
        </w:rPr>
        <w:t>,</w:t>
      </w:r>
      <w:r>
        <w:rPr>
          <w:color w:val="000000"/>
        </w:rPr>
        <w:t xml:space="preserve"> </w:t>
      </w:r>
      <w:hyperlink r:id="rId201" w:history="1">
        <w:r>
          <w:rPr>
            <w:color w:val="000000"/>
          </w:rPr>
          <w:t xml:space="preserve">65 </w:t>
        </w:r>
        <w:r w:rsidR="000F32DE">
          <w:rPr>
            <w:color w:val="000000"/>
          </w:rPr>
          <w:t>F.</w:t>
        </w:r>
        <w:r>
          <w:rPr>
            <w:color w:val="000000"/>
          </w:rPr>
          <w:t>3d 973</w:t>
        </w:r>
      </w:hyperlink>
      <w:r>
        <w:rPr>
          <w:color w:val="000000"/>
        </w:rPr>
        <w:t xml:space="preserve"> (1st Cir 1995)</w:t>
      </w:r>
      <w:r w:rsidR="008B54D4">
        <w:rPr>
          <w:color w:val="000000"/>
        </w:rPr>
        <w:t>,</w:t>
      </w:r>
      <w:r>
        <w:rPr>
          <w:color w:val="000000"/>
        </w:rPr>
        <w:t xml:space="preserve"> but again</w:t>
      </w:r>
      <w:r w:rsidR="008B54D4">
        <w:rPr>
          <w:color w:val="000000"/>
        </w:rPr>
        <w:t>,</w:t>
      </w:r>
      <w:r>
        <w:rPr>
          <w:color w:val="000000"/>
        </w:rPr>
        <w:t xml:space="preserve"> the First Circuit did not identify any statutory authority to impose non-debtor releases in that case</w:t>
      </w:r>
      <w:r w:rsidR="006A227C">
        <w:rPr>
          <w:color w:val="000000"/>
        </w:rPr>
        <w:t xml:space="preserve">.  </w:t>
      </w:r>
      <w:r>
        <w:rPr>
          <w:color w:val="000000"/>
        </w:rPr>
        <w:t>It declined to decide whether Section 105(a) authorized the imposition of a non-debtor release; and it did not cite any other section of the Bankruptcy Code as conferring that authority</w:t>
      </w:r>
      <w:r w:rsidR="006A227C">
        <w:rPr>
          <w:color w:val="000000"/>
        </w:rPr>
        <w:t xml:space="preserve">.  </w:t>
      </w:r>
      <w:r w:rsidR="00FD7892">
        <w:rPr>
          <w:i/>
          <w:iCs/>
          <w:color w:val="000000"/>
        </w:rPr>
        <w:t xml:space="preserve">Id. </w:t>
      </w:r>
      <w:r>
        <w:rPr>
          <w:color w:val="000000"/>
        </w:rPr>
        <w:t>at 983-94.</w:t>
      </w:r>
    </w:p>
    <w:p w14:paraId="21222B6A" w14:textId="2ACAB578" w:rsidR="00A77BBD" w:rsidRDefault="00A77BBD" w:rsidP="00A77BBD">
      <w:pPr>
        <w:pStyle w:val="BodyTextFirstIndent"/>
      </w:pPr>
      <w:r>
        <w:rPr>
          <w:color w:val="000000"/>
        </w:rPr>
        <w:t xml:space="preserve">Judge </w:t>
      </w:r>
      <w:r w:rsidR="00E82FD6">
        <w:rPr>
          <w:color w:val="000000"/>
        </w:rPr>
        <w:t>Wains</w:t>
      </w:r>
      <w:r>
        <w:rPr>
          <w:color w:val="000000"/>
        </w:rPr>
        <w:t xml:space="preserve"> cited </w:t>
      </w:r>
      <w:r>
        <w:rPr>
          <w:i/>
          <w:iCs/>
          <w:color w:val="000000"/>
        </w:rPr>
        <w:t>In re AOV Indus.</w:t>
      </w:r>
      <w:r w:rsidR="008B54D4">
        <w:rPr>
          <w:i/>
          <w:iCs/>
          <w:color w:val="000000"/>
        </w:rPr>
        <w:t>,</w:t>
      </w:r>
      <w:r>
        <w:rPr>
          <w:i/>
          <w:iCs/>
          <w:color w:val="000000"/>
        </w:rPr>
        <w:t xml:space="preserve"> Inc</w:t>
      </w:r>
      <w:r>
        <w:rPr>
          <w:color w:val="000000"/>
        </w:rPr>
        <w:t>.</w:t>
      </w:r>
      <w:r w:rsidR="008B54D4">
        <w:rPr>
          <w:color w:val="000000"/>
        </w:rPr>
        <w:t>,</w:t>
      </w:r>
      <w:hyperlink r:id="rId202" w:history="1">
        <w:r>
          <w:rPr>
            <w:color w:val="000000"/>
          </w:rPr>
          <w:t xml:space="preserve"> 792 F.2d 1140</w:t>
        </w:r>
        <w:r w:rsidR="008B54D4">
          <w:rPr>
            <w:color w:val="000000"/>
          </w:rPr>
          <w:t>,</w:t>
        </w:r>
        <w:r>
          <w:rPr>
            <w:color w:val="000000"/>
          </w:rPr>
          <w:t xml:space="preserve"> 1153</w:t>
        </w:r>
      </w:hyperlink>
      <w:r>
        <w:rPr>
          <w:color w:val="000000"/>
        </w:rPr>
        <w:t xml:space="preserve"> (</w:t>
      </w:r>
      <w:r w:rsidR="00013BBA">
        <w:rPr>
          <w:color w:val="000000"/>
        </w:rPr>
        <w:t xml:space="preserve">D.C. </w:t>
      </w:r>
      <w:r w:rsidR="00E97455">
        <w:rPr>
          <w:color w:val="000000"/>
        </w:rPr>
        <w:t xml:space="preserve">Cir. </w:t>
      </w:r>
      <w:r>
        <w:rPr>
          <w:color w:val="000000"/>
        </w:rPr>
        <w:t xml:space="preserve">1986) for the proposition that the </w:t>
      </w:r>
      <w:r w:rsidR="00013BBA">
        <w:rPr>
          <w:color w:val="000000"/>
        </w:rPr>
        <w:t xml:space="preserve">D.C. </w:t>
      </w:r>
      <w:r>
        <w:rPr>
          <w:color w:val="000000"/>
        </w:rPr>
        <w:t>Circuit has approved the non-consensual release of third-party claims against non-debtors</w:t>
      </w:r>
      <w:r w:rsidR="006A227C">
        <w:rPr>
          <w:color w:val="000000"/>
        </w:rPr>
        <w:t xml:space="preserve">.  </w:t>
      </w:r>
      <w:r>
        <w:rPr>
          <w:color w:val="000000"/>
        </w:rPr>
        <w:t>But that is wrong</w:t>
      </w:r>
      <w:r w:rsidR="006A227C">
        <w:rPr>
          <w:color w:val="000000"/>
        </w:rPr>
        <w:t xml:space="preserve">.  </w:t>
      </w:r>
      <w:r>
        <w:rPr>
          <w:color w:val="000000"/>
        </w:rPr>
        <w:t xml:space="preserve">The </w:t>
      </w:r>
      <w:r>
        <w:rPr>
          <w:i/>
          <w:iCs/>
          <w:color w:val="000000"/>
        </w:rPr>
        <w:t>AOV Industries</w:t>
      </w:r>
      <w:r>
        <w:rPr>
          <w:color w:val="000000"/>
        </w:rPr>
        <w:t xml:space="preserve"> court did not say a word about whether such relief was authorized by statute</w:t>
      </w:r>
      <w:r w:rsidR="006A227C">
        <w:rPr>
          <w:color w:val="000000"/>
        </w:rPr>
        <w:t xml:space="preserve">.  </w:t>
      </w:r>
      <w:r>
        <w:rPr>
          <w:color w:val="000000"/>
        </w:rPr>
        <w:t xml:space="preserve">The court simply found that the issue before it - whether the bankruptcy court had </w:t>
      </w:r>
      <w:r>
        <w:rPr>
          <w:i/>
          <w:iCs/>
          <w:color w:val="000000"/>
        </w:rPr>
        <w:t>constitutional</w:t>
      </w:r>
      <w:r>
        <w:rPr>
          <w:color w:val="000000"/>
        </w:rPr>
        <w:t xml:space="preserve"> authority to enter an order releasing non-debtor claims - was equitably moot</w:t>
      </w:r>
      <w:r w:rsidR="006A227C">
        <w:rPr>
          <w:color w:val="000000"/>
        </w:rPr>
        <w:t xml:space="preserve">.  </w:t>
      </w:r>
      <w:r>
        <w:rPr>
          <w:i/>
          <w:iCs/>
          <w:color w:val="000000"/>
        </w:rPr>
        <w:t>Id</w:t>
      </w:r>
      <w:r>
        <w:rPr>
          <w:color w:val="000000"/>
        </w:rPr>
        <w:t>.</w:t>
      </w:r>
    </w:p>
    <w:p w14:paraId="36E83C8D" w14:textId="3AE6106E" w:rsidR="00A77BBD" w:rsidRDefault="00A77BBD" w:rsidP="00A77BBD">
      <w:pPr>
        <w:pStyle w:val="BodyTextFirstIndent"/>
      </w:pPr>
      <w:r>
        <w:rPr>
          <w:color w:val="000000"/>
        </w:rPr>
        <w:t>The Fourth and Eleventh Circuits have concluded that Section 105(a)</w:t>
      </w:r>
      <w:r w:rsidR="008B54D4">
        <w:rPr>
          <w:color w:val="000000"/>
        </w:rPr>
        <w:t>,</w:t>
      </w:r>
      <w:r>
        <w:rPr>
          <w:color w:val="000000"/>
        </w:rPr>
        <w:t xml:space="preserve"> without more</w:t>
      </w:r>
      <w:r w:rsidR="008B54D4">
        <w:rPr>
          <w:color w:val="000000"/>
        </w:rPr>
        <w:t>,</w:t>
      </w:r>
      <w:r>
        <w:rPr>
          <w:color w:val="000000"/>
        </w:rPr>
        <w:t xml:space="preserve"> authorizes such releases</w:t>
      </w:r>
      <w:r w:rsidR="006A227C">
        <w:rPr>
          <w:color w:val="000000"/>
        </w:rPr>
        <w:t xml:space="preserve">.  </w:t>
      </w:r>
      <w:r>
        <w:rPr>
          <w:i/>
          <w:iCs/>
          <w:color w:val="000000"/>
        </w:rPr>
        <w:t>See Nat</w:t>
      </w:r>
      <w:r w:rsidR="008B54D4">
        <w:rPr>
          <w:i/>
          <w:iCs/>
          <w:color w:val="000000"/>
        </w:rPr>
        <w:t>’</w:t>
      </w:r>
      <w:r>
        <w:rPr>
          <w:i/>
          <w:iCs/>
          <w:color w:val="000000"/>
        </w:rPr>
        <w:t>l Heritage Found.</w:t>
      </w:r>
      <w:r w:rsidR="008B54D4">
        <w:rPr>
          <w:i/>
          <w:iCs/>
          <w:color w:val="000000"/>
        </w:rPr>
        <w:t>,</w:t>
      </w:r>
      <w:r>
        <w:rPr>
          <w:i/>
          <w:iCs/>
          <w:color w:val="000000"/>
        </w:rPr>
        <w:t xml:space="preserve"> Inc</w:t>
      </w:r>
      <w:r w:rsidR="006A227C">
        <w:rPr>
          <w:i/>
          <w:iCs/>
          <w:color w:val="000000"/>
        </w:rPr>
        <w:t>.</w:t>
      </w:r>
      <w:r w:rsidR="00E150C1">
        <w:rPr>
          <w:i/>
          <w:iCs/>
          <w:color w:val="000000"/>
        </w:rPr>
        <w:t xml:space="preserve"> v. </w:t>
      </w:r>
      <w:r>
        <w:rPr>
          <w:i/>
          <w:iCs/>
          <w:color w:val="000000"/>
        </w:rPr>
        <w:t>Highbourne Found.</w:t>
      </w:r>
      <w:r w:rsidR="008B54D4">
        <w:rPr>
          <w:i/>
          <w:iCs/>
          <w:color w:val="000000"/>
        </w:rPr>
        <w:t>,</w:t>
      </w:r>
      <w:r>
        <w:rPr>
          <w:i/>
          <w:iCs/>
          <w:color w:val="000000"/>
        </w:rPr>
        <w:t xml:space="preserve"> Inc</w:t>
      </w:r>
      <w:r>
        <w:rPr>
          <w:color w:val="000000"/>
        </w:rPr>
        <w:t>.</w:t>
      </w:r>
      <w:r w:rsidR="008B54D4">
        <w:rPr>
          <w:color w:val="000000"/>
        </w:rPr>
        <w:t>,</w:t>
      </w:r>
      <w:hyperlink r:id="rId203" w:history="1">
        <w:r>
          <w:rPr>
            <w:color w:val="000000"/>
          </w:rPr>
          <w:t xml:space="preserve"> 760 F.3d</w:t>
        </w:r>
      </w:hyperlink>
      <w:r>
        <w:rPr>
          <w:color w:val="000000"/>
        </w:rPr>
        <w:t xml:space="preserve"> </w:t>
      </w:r>
      <w:hyperlink r:id="rId204" w:history="1">
        <w:r>
          <w:rPr>
            <w:color w:val="000000"/>
          </w:rPr>
          <w:t>344</w:t>
        </w:r>
        <w:r w:rsidR="008B54D4">
          <w:rPr>
            <w:color w:val="000000"/>
          </w:rPr>
          <w:t>,</w:t>
        </w:r>
        <w:r>
          <w:rPr>
            <w:color w:val="000000"/>
          </w:rPr>
          <w:t xml:space="preserve"> 350 </w:t>
        </w:r>
      </w:hyperlink>
      <w:r>
        <w:rPr>
          <w:color w:val="000000"/>
        </w:rPr>
        <w:t xml:space="preserve">(4th </w:t>
      </w:r>
      <w:r w:rsidR="00E97455">
        <w:rPr>
          <w:color w:val="000000"/>
        </w:rPr>
        <w:t xml:space="preserve">Cir. </w:t>
      </w:r>
      <w:r>
        <w:rPr>
          <w:color w:val="000000"/>
        </w:rPr>
        <w:t xml:space="preserve">2014); </w:t>
      </w:r>
      <w:r>
        <w:rPr>
          <w:i/>
          <w:iCs/>
          <w:color w:val="000000"/>
        </w:rPr>
        <w:t>In re Seaside Eng</w:t>
      </w:r>
      <w:r w:rsidR="008B54D4">
        <w:rPr>
          <w:i/>
          <w:iCs/>
          <w:color w:val="000000"/>
        </w:rPr>
        <w:t>’</w:t>
      </w:r>
      <w:r>
        <w:rPr>
          <w:i/>
          <w:iCs/>
          <w:color w:val="000000"/>
        </w:rPr>
        <w:t>g &amp; Surveying</w:t>
      </w:r>
      <w:r w:rsidR="008B54D4">
        <w:rPr>
          <w:color w:val="000000"/>
        </w:rPr>
        <w:t>,</w:t>
      </w:r>
      <w:hyperlink r:id="rId205" w:history="1">
        <w:r>
          <w:rPr>
            <w:color w:val="000000"/>
          </w:rPr>
          <w:t xml:space="preserve"> 780 F.3d 1070</w:t>
        </w:r>
        <w:r w:rsidR="008B54D4">
          <w:rPr>
            <w:color w:val="000000"/>
          </w:rPr>
          <w:t>,</w:t>
        </w:r>
        <w:r>
          <w:rPr>
            <w:color w:val="000000"/>
          </w:rPr>
          <w:t xml:space="preserve"> 1076-79</w:t>
        </w:r>
      </w:hyperlink>
      <w:r>
        <w:rPr>
          <w:color w:val="000000"/>
        </w:rPr>
        <w:t xml:space="preserve"> (11</w:t>
      </w:r>
      <w:r w:rsidRPr="00AC00F7">
        <w:rPr>
          <w:color w:val="000000"/>
        </w:rPr>
        <w:t>th</w:t>
      </w:r>
      <w:r>
        <w:rPr>
          <w:color w:val="000000"/>
        </w:rPr>
        <w:t xml:space="preserve"> </w:t>
      </w:r>
      <w:r w:rsidR="00E97455">
        <w:rPr>
          <w:color w:val="000000"/>
        </w:rPr>
        <w:t xml:space="preserve">Cir. </w:t>
      </w:r>
      <w:r>
        <w:rPr>
          <w:color w:val="000000"/>
        </w:rPr>
        <w:t>2015)</w:t>
      </w:r>
      <w:r w:rsidR="006A227C">
        <w:rPr>
          <w:color w:val="000000"/>
        </w:rPr>
        <w:t xml:space="preserve">.  </w:t>
      </w:r>
      <w:r>
        <w:rPr>
          <w:color w:val="000000"/>
        </w:rPr>
        <w:t xml:space="preserve">After </w:t>
      </w:r>
      <w:r>
        <w:rPr>
          <w:i/>
          <w:iCs/>
          <w:color w:val="000000"/>
        </w:rPr>
        <w:t>In re Dairy Mart</w:t>
      </w:r>
      <w:r>
        <w:rPr>
          <w:color w:val="000000"/>
        </w:rPr>
        <w:t xml:space="preserve"> and </w:t>
      </w:r>
      <w:r>
        <w:rPr>
          <w:i/>
          <w:iCs/>
          <w:color w:val="000000"/>
        </w:rPr>
        <w:t>Metromedia</w:t>
      </w:r>
      <w:r w:rsidR="008B54D4">
        <w:rPr>
          <w:i/>
          <w:iCs/>
          <w:color w:val="000000"/>
        </w:rPr>
        <w:t>,</w:t>
      </w:r>
      <w:r>
        <w:rPr>
          <w:color w:val="000000"/>
        </w:rPr>
        <w:t xml:space="preserve"> we know that is not the law in the Second Circuit</w:t>
      </w:r>
      <w:r w:rsidR="006A227C">
        <w:rPr>
          <w:color w:val="000000"/>
        </w:rPr>
        <w:t xml:space="preserve">.  </w:t>
      </w:r>
      <w:r>
        <w:rPr>
          <w:color w:val="000000"/>
        </w:rPr>
        <w:t>So Fourth and Eleventh Circuit law contradict Second Circuit law</w:t>
      </w:r>
      <w:r w:rsidR="008B54D4">
        <w:rPr>
          <w:color w:val="000000"/>
        </w:rPr>
        <w:t>,</w:t>
      </w:r>
      <w:r>
        <w:rPr>
          <w:color w:val="000000"/>
        </w:rPr>
        <w:t xml:space="preserve"> and cannot be relied on as authority for the proposition that such releases are statutorily authorized.</w:t>
      </w:r>
    </w:p>
    <w:p w14:paraId="0667CC29" w14:textId="54AF5262" w:rsidR="00A77BBD" w:rsidRDefault="00A77BBD" w:rsidP="00A77BBD">
      <w:pPr>
        <w:pStyle w:val="BodyTextFirstIndent"/>
      </w:pPr>
      <w:r>
        <w:rPr>
          <w:color w:val="000000"/>
        </w:rPr>
        <w:t>That leaves the Sixth and Seventh Circuits</w:t>
      </w:r>
      <w:r w:rsidR="008B54D4">
        <w:rPr>
          <w:color w:val="000000"/>
        </w:rPr>
        <w:t>,</w:t>
      </w:r>
      <w:r>
        <w:rPr>
          <w:color w:val="000000"/>
        </w:rPr>
        <w:t xml:space="preserve"> both of which have concluded that Sections 105(a) and 1123(b)(6) of the Bankruptcy Code</w:t>
      </w:r>
      <w:r w:rsidR="008B54D4">
        <w:rPr>
          <w:color w:val="000000"/>
        </w:rPr>
        <w:t>,</w:t>
      </w:r>
      <w:r>
        <w:rPr>
          <w:color w:val="000000"/>
        </w:rPr>
        <w:t xml:space="preserve"> read together</w:t>
      </w:r>
      <w:r w:rsidR="008B54D4">
        <w:rPr>
          <w:color w:val="000000"/>
        </w:rPr>
        <w:t>,</w:t>
      </w:r>
      <w:r>
        <w:rPr>
          <w:color w:val="000000"/>
        </w:rPr>
        <w:t xml:space="preserve"> codify something that they call a bankruptcy court</w:t>
      </w:r>
      <w:r w:rsidR="008B54D4">
        <w:rPr>
          <w:color w:val="000000"/>
        </w:rPr>
        <w:t>’</w:t>
      </w:r>
      <w:r>
        <w:rPr>
          <w:color w:val="000000"/>
        </w:rPr>
        <w:t>s “residual authority</w:t>
      </w:r>
      <w:r w:rsidR="008B54D4">
        <w:rPr>
          <w:color w:val="000000"/>
        </w:rPr>
        <w:t>,</w:t>
      </w:r>
      <w:r>
        <w:rPr>
          <w:color w:val="000000"/>
        </w:rPr>
        <w:t>” and hold that a bankruptcy court can impose non</w:t>
      </w:r>
      <w:r>
        <w:rPr>
          <w:color w:val="000000"/>
        </w:rPr>
        <w:softHyphen/>
        <w:t>consensual releases of third-party claims against non-debtors in connection with a chapter 11 plan pursuant to that “residual authority.”</w:t>
      </w:r>
      <w:r>
        <w:rPr>
          <w:rStyle w:val="FootnoteReference"/>
          <w:rFonts w:eastAsia="Times New Roman" w:cs="Times New Roman"/>
          <w:color w:val="000000"/>
          <w:vertAlign w:val="superscript"/>
        </w:rPr>
        <w:footnoteReference w:id="40"/>
      </w:r>
      <w:r>
        <w:rPr>
          <w:color w:val="000000"/>
        </w:rPr>
        <w:t xml:space="preserve"> </w:t>
      </w:r>
      <w:r w:rsidR="00AC00F7">
        <w:rPr>
          <w:color w:val="000000"/>
        </w:rPr>
        <w:t xml:space="preserve"> </w:t>
      </w:r>
      <w:r>
        <w:rPr>
          <w:color w:val="000000"/>
        </w:rPr>
        <w:t>As discussed in my summary of his opinion</w:t>
      </w:r>
      <w:r w:rsidR="008B54D4">
        <w:rPr>
          <w:color w:val="000000"/>
        </w:rPr>
        <w:t>,</w:t>
      </w:r>
      <w:r>
        <w:rPr>
          <w:color w:val="000000"/>
        </w:rPr>
        <w:t xml:space="preserve"> Judge </w:t>
      </w:r>
      <w:r w:rsidR="00E82FD6">
        <w:rPr>
          <w:color w:val="000000"/>
        </w:rPr>
        <w:t>Wains</w:t>
      </w:r>
      <w:r>
        <w:rPr>
          <w:color w:val="000000"/>
        </w:rPr>
        <w:t xml:space="preserve"> adopted the reasoning of these courts</w:t>
      </w:r>
      <w:r w:rsidR="008B54D4">
        <w:rPr>
          <w:color w:val="000000"/>
        </w:rPr>
        <w:t>,</w:t>
      </w:r>
      <w:r>
        <w:rPr>
          <w:color w:val="000000"/>
        </w:rPr>
        <w:t xml:space="preserve"> and added two other sections of the Bankruptcy Code to buttress the analysis.</w:t>
      </w:r>
    </w:p>
    <w:p w14:paraId="1AEAC901" w14:textId="13845993" w:rsidR="00A77BBD" w:rsidRDefault="00A77BBD" w:rsidP="003E441B">
      <w:pPr>
        <w:pStyle w:val="BodyTextFirstIndent"/>
      </w:pPr>
      <w:r>
        <w:rPr>
          <w:b/>
          <w:bCs/>
          <w:color w:val="000000"/>
          <w:u w:val="single"/>
        </w:rPr>
        <w:t>Summary of Extra-Circuit Law</w:t>
      </w:r>
      <w:r>
        <w:rPr>
          <w:color w:val="000000"/>
        </w:rPr>
        <w:t>:  A majority of the Circuits that have spoken to the statutory authority question either dismiss the idea that such authority exists or</w:t>
      </w:r>
      <w:r w:rsidR="008B54D4">
        <w:rPr>
          <w:color w:val="000000"/>
        </w:rPr>
        <w:t>,</w:t>
      </w:r>
      <w:r>
        <w:rPr>
          <w:color w:val="000000"/>
        </w:rPr>
        <w:t xml:space="preserve"> as with the Second Circuit</w:t>
      </w:r>
      <w:r w:rsidR="003E441B">
        <w:rPr>
          <w:color w:val="000000"/>
        </w:rPr>
        <w:t>:</w:t>
      </w:r>
      <w:r>
        <w:rPr>
          <w:color w:val="000000"/>
        </w:rPr>
        <w:t xml:space="preserve"> (</w:t>
      </w:r>
      <w:r w:rsidR="003E441B">
        <w:rPr>
          <w:color w:val="000000"/>
        </w:rPr>
        <w:t>1</w:t>
      </w:r>
      <w:r>
        <w:rPr>
          <w:color w:val="000000"/>
        </w:rPr>
        <w:t>) reject the notion that such authority can be found by looking solely to Section 105(a)</w:t>
      </w:r>
      <w:r w:rsidR="003E441B">
        <w:rPr>
          <w:color w:val="000000"/>
        </w:rPr>
        <w:t>,</w:t>
      </w:r>
      <w:r>
        <w:rPr>
          <w:color w:val="000000"/>
        </w:rPr>
        <w:t xml:space="preserve"> and then (</w:t>
      </w:r>
      <w:r w:rsidR="003E441B">
        <w:rPr>
          <w:color w:val="000000"/>
        </w:rPr>
        <w:t>2</w:t>
      </w:r>
      <w:r>
        <w:rPr>
          <w:color w:val="000000"/>
        </w:rPr>
        <w:t>) fail to answer the question of where such authority can be found</w:t>
      </w:r>
      <w:r w:rsidR="006A227C">
        <w:rPr>
          <w:color w:val="000000"/>
        </w:rPr>
        <w:t xml:space="preserve">.  </w:t>
      </w:r>
      <w:r>
        <w:rPr>
          <w:color w:val="000000"/>
        </w:rPr>
        <w:t>Two Circuits rely solely on Section 105(a)</w:t>
      </w:r>
      <w:r w:rsidR="008B54D4">
        <w:rPr>
          <w:color w:val="000000"/>
        </w:rPr>
        <w:t>,</w:t>
      </w:r>
      <w:r>
        <w:rPr>
          <w:color w:val="000000"/>
        </w:rPr>
        <w:t xml:space="preserve"> and so have law that conflicts with the Second Circuit</w:t>
      </w:r>
      <w:r w:rsidR="008B54D4">
        <w:rPr>
          <w:color w:val="000000"/>
        </w:rPr>
        <w:t>’</w:t>
      </w:r>
      <w:r>
        <w:rPr>
          <w:color w:val="000000"/>
        </w:rPr>
        <w:t>s pronouncement</w:t>
      </w:r>
      <w:r w:rsidR="006A227C">
        <w:rPr>
          <w:color w:val="000000"/>
        </w:rPr>
        <w:t xml:space="preserve">. </w:t>
      </w:r>
    </w:p>
    <w:p w14:paraId="3C2DECB4" w14:textId="7D2ECEB4" w:rsidR="00A77BBD" w:rsidRDefault="00A77BBD" w:rsidP="003E7DC0">
      <w:pPr>
        <w:pStyle w:val="Heading3"/>
      </w:pPr>
      <w:r>
        <w:t>The Statutory Provisions Upon Which the Bankruptcy Court Relied</w:t>
      </w:r>
    </w:p>
    <w:p w14:paraId="48DE77DA" w14:textId="0400B2BC" w:rsidR="00A77BBD" w:rsidRDefault="00A77BBD" w:rsidP="00A77BBD">
      <w:pPr>
        <w:pStyle w:val="BodyTextFirstIndent"/>
      </w:pPr>
      <w:r>
        <w:rPr>
          <w:color w:val="000000"/>
        </w:rPr>
        <w:t xml:space="preserve">Judge </w:t>
      </w:r>
      <w:r w:rsidR="00E82FD6">
        <w:rPr>
          <w:color w:val="000000"/>
        </w:rPr>
        <w:t>Wains</w:t>
      </w:r>
      <w:r>
        <w:rPr>
          <w:color w:val="000000"/>
        </w:rPr>
        <w:t xml:space="preserve"> was quite explicit about the statutory provisions that he believed gave him authority to approve these releases as “necessary or appropriate” to carry out the provisions of the Bankruptcy Code:  Sections 105(a)</w:t>
      </w:r>
      <w:r w:rsidR="008B54D4">
        <w:rPr>
          <w:color w:val="000000"/>
        </w:rPr>
        <w:t>,</w:t>
      </w:r>
      <w:r>
        <w:rPr>
          <w:color w:val="000000"/>
        </w:rPr>
        <w:t xml:space="preserve"> 1123(a)(5) and (b)(6)</w:t>
      </w:r>
      <w:r w:rsidR="008B54D4">
        <w:rPr>
          <w:color w:val="000000"/>
        </w:rPr>
        <w:t>,</w:t>
      </w:r>
      <w:r>
        <w:rPr>
          <w:color w:val="000000"/>
        </w:rPr>
        <w:t xml:space="preserve"> and 1129</w:t>
      </w:r>
      <w:r w:rsidR="008B54D4">
        <w:rPr>
          <w:color w:val="000000"/>
        </w:rPr>
        <w:t>,</w:t>
      </w:r>
      <w:r>
        <w:rPr>
          <w:color w:val="000000"/>
        </w:rPr>
        <w:t xml:space="preserve"> </w:t>
      </w:r>
      <w:r w:rsidR="003E441B">
        <w:rPr>
          <w:color w:val="000000"/>
        </w:rPr>
        <w:t xml:space="preserve">taken </w:t>
      </w:r>
      <w:r>
        <w:rPr>
          <w:color w:val="000000"/>
        </w:rPr>
        <w:t xml:space="preserve">together </w:t>
      </w:r>
      <w:r w:rsidR="003E441B">
        <w:rPr>
          <w:color w:val="000000"/>
        </w:rPr>
        <w:t>creating</w:t>
      </w:r>
      <w:r>
        <w:rPr>
          <w:color w:val="000000"/>
        </w:rPr>
        <w:t xml:space="preserve"> “residual authority</w:t>
      </w:r>
      <w:r w:rsidR="00FA79C1">
        <w:rPr>
          <w:color w:val="000000"/>
        </w:rPr>
        <w:t>”</w:t>
      </w:r>
      <w:r w:rsidR="003E441B">
        <w:rPr>
          <w:color w:val="000000"/>
        </w:rPr>
        <w:t xml:space="preserve"> to approve the Packler releases.</w:t>
      </w:r>
      <w:r w:rsidR="00FA79C1">
        <w:rPr>
          <w:color w:val="000000"/>
        </w:rPr>
        <w:t xml:space="preserve">  </w:t>
      </w:r>
      <w:r>
        <w:rPr>
          <w:i/>
          <w:iCs/>
          <w:color w:val="000000"/>
        </w:rPr>
        <w:t xml:space="preserve">In re </w:t>
      </w:r>
      <w:r w:rsidR="006239B5">
        <w:rPr>
          <w:i/>
          <w:iCs/>
          <w:color w:val="000000"/>
        </w:rPr>
        <w:t>Oxy</w:t>
      </w:r>
      <w:r>
        <w:rPr>
          <w:i/>
          <w:iCs/>
          <w:color w:val="000000"/>
        </w:rPr>
        <w:t xml:space="preserve"> Pharma L.P</w:t>
      </w:r>
      <w:r>
        <w:rPr>
          <w:color w:val="000000"/>
        </w:rPr>
        <w:t>.</w:t>
      </w:r>
      <w:r w:rsidR="008B54D4">
        <w:rPr>
          <w:color w:val="000000"/>
        </w:rPr>
        <w:t>,</w:t>
      </w:r>
      <w:r>
        <w:rPr>
          <w:color w:val="000000"/>
        </w:rPr>
        <w:t xml:space="preserve"> </w:t>
      </w:r>
      <w:hyperlink r:id="rId206" w:history="1">
        <w:r>
          <w:rPr>
            <w:color w:val="000000"/>
          </w:rPr>
          <w:t>2021 WL 4240974</w:t>
        </w:r>
      </w:hyperlink>
      <w:r w:rsidR="008B54D4">
        <w:rPr>
          <w:color w:val="000000"/>
        </w:rPr>
        <w:t>,</w:t>
      </w:r>
      <w:r>
        <w:rPr>
          <w:color w:val="000000"/>
        </w:rPr>
        <w:t xml:space="preserve"> at *43.</w:t>
      </w:r>
    </w:p>
    <w:p w14:paraId="19A8C475" w14:textId="73E1C53B" w:rsidR="00A77BBD" w:rsidRDefault="00A77BBD" w:rsidP="00A77BBD">
      <w:pPr>
        <w:pStyle w:val="BodyTextFirstIndent"/>
      </w:pPr>
      <w:r>
        <w:rPr>
          <w:color w:val="000000"/>
        </w:rPr>
        <w:t>The question that arises is whether any of the sections other than</w:t>
      </w:r>
      <w:r w:rsidR="003E441B">
        <w:rPr>
          <w:color w:val="000000"/>
        </w:rPr>
        <w:t xml:space="preserve"> Bankruptcy Code</w:t>
      </w:r>
      <w:r>
        <w:rPr>
          <w:color w:val="000000"/>
        </w:rPr>
        <w:t xml:space="preserve"> </w:t>
      </w:r>
      <w:r w:rsidR="000E09FD">
        <w:rPr>
          <w:color w:val="000000"/>
        </w:rPr>
        <w:t>§</w:t>
      </w:r>
      <w:r>
        <w:rPr>
          <w:color w:val="000000"/>
        </w:rPr>
        <w:t>105(a) confers some substantive right such that a release to enforce that right could be entered pursuant to Section 105(a).</w:t>
      </w:r>
    </w:p>
    <w:p w14:paraId="7A85834F" w14:textId="57E66DD9" w:rsidR="00A77BBD" w:rsidRDefault="003E441B" w:rsidP="00A77BBD">
      <w:pPr>
        <w:pStyle w:val="BodyTextFirstIndent"/>
      </w:pPr>
      <w:r>
        <w:rPr>
          <w:color w:val="000000"/>
        </w:rPr>
        <w:t>We</w:t>
      </w:r>
      <w:r w:rsidR="00A77BBD">
        <w:rPr>
          <w:color w:val="000000"/>
        </w:rPr>
        <w:t xml:space="preserve"> conclude that they do not.</w:t>
      </w:r>
    </w:p>
    <w:p w14:paraId="22817FBE" w14:textId="1E6577A3" w:rsidR="00A77BBD" w:rsidRDefault="00A77BBD" w:rsidP="00A77BBD">
      <w:pPr>
        <w:pStyle w:val="BodyTextFirstIndent"/>
      </w:pPr>
      <w:r>
        <w:rPr>
          <w:color w:val="000000"/>
        </w:rPr>
        <w:t>Rather</w:t>
      </w:r>
      <w:r w:rsidR="008B54D4">
        <w:rPr>
          <w:color w:val="000000"/>
        </w:rPr>
        <w:t>,</w:t>
      </w:r>
      <w:r>
        <w:rPr>
          <w:color w:val="000000"/>
        </w:rPr>
        <w:t xml:space="preserve"> each of the cited sections</w:t>
      </w:r>
      <w:r w:rsidR="008B54D4">
        <w:rPr>
          <w:color w:val="000000"/>
        </w:rPr>
        <w:t>,</w:t>
      </w:r>
      <w:r>
        <w:rPr>
          <w:color w:val="000000"/>
        </w:rPr>
        <w:t xml:space="preserve"> like Section 105(a)</w:t>
      </w:r>
      <w:r w:rsidR="003E441B">
        <w:rPr>
          <w:color w:val="000000"/>
        </w:rPr>
        <w:t xml:space="preserve"> of the Bankruptcy COde</w:t>
      </w:r>
      <w:r w:rsidR="008B54D4">
        <w:rPr>
          <w:color w:val="000000"/>
        </w:rPr>
        <w:t>,</w:t>
      </w:r>
      <w:r>
        <w:rPr>
          <w:color w:val="000000"/>
        </w:rPr>
        <w:t xml:space="preserve"> confers on the Bankruptcy Court only the power to enter orders that carry out other</w:t>
      </w:r>
      <w:r w:rsidR="008B54D4">
        <w:rPr>
          <w:color w:val="000000"/>
        </w:rPr>
        <w:t>,</w:t>
      </w:r>
      <w:r>
        <w:rPr>
          <w:color w:val="000000"/>
        </w:rPr>
        <w:t xml:space="preserve"> substantive provisions of the Bankruptcy Code.</w:t>
      </w:r>
      <w:r w:rsidR="003E7DC0">
        <w:rPr>
          <w:color w:val="000000"/>
        </w:rPr>
        <w:t xml:space="preserve">  </w:t>
      </w:r>
      <w:r>
        <w:rPr>
          <w:color w:val="000000"/>
        </w:rPr>
        <w:t>None of them creates any substantive right; neither do they create some sort of “residual authority” that authorizes the action taken by the Bankruptcy Court.</w:t>
      </w:r>
    </w:p>
    <w:p w14:paraId="5D0E57E4" w14:textId="52C1C5F6" w:rsidR="00A77BBD" w:rsidRDefault="00A77BBD" w:rsidP="00A77BBD">
      <w:pPr>
        <w:pStyle w:val="BodyTextFirstIndent"/>
      </w:pPr>
      <w:r>
        <w:rPr>
          <w:b/>
          <w:bCs/>
          <w:color w:val="000000"/>
          <w:u w:val="single"/>
        </w:rPr>
        <w:t>Section 1123(b)(6)</w:t>
      </w:r>
      <w:r w:rsidRPr="005B0FDA">
        <w:rPr>
          <w:color w:val="000000"/>
        </w:rPr>
        <w:t xml:space="preserve">:  </w:t>
      </w:r>
      <w:r>
        <w:rPr>
          <w:color w:val="000000"/>
        </w:rPr>
        <w:t>Subsections (a) and (b) of</w:t>
      </w:r>
      <w:hyperlink r:id="rId207" w:history="1">
        <w:r>
          <w:rPr>
            <w:color w:val="000000"/>
          </w:rPr>
          <w:t xml:space="preserve"> 11 </w:t>
        </w:r>
        <w:r w:rsidR="00522B24">
          <w:rPr>
            <w:color w:val="000000"/>
          </w:rPr>
          <w:t xml:space="preserve">U.S.C. </w:t>
        </w:r>
        <w:r>
          <w:rPr>
            <w:color w:val="000000"/>
          </w:rPr>
          <w:t>§ 1123</w:t>
        </w:r>
      </w:hyperlink>
      <w:r w:rsidR="008B54D4">
        <w:rPr>
          <w:color w:val="000000"/>
        </w:rPr>
        <w:t>,</w:t>
      </w:r>
      <w:r>
        <w:rPr>
          <w:color w:val="000000"/>
        </w:rPr>
        <w:t xml:space="preserve"> entitled “Contents of Plan</w:t>
      </w:r>
      <w:r w:rsidR="008B54D4">
        <w:rPr>
          <w:color w:val="000000"/>
        </w:rPr>
        <w:t>,</w:t>
      </w:r>
      <w:r>
        <w:rPr>
          <w:color w:val="000000"/>
        </w:rPr>
        <w:t xml:space="preserve">” lay out in considerable detail what a plan of reorganization </w:t>
      </w:r>
      <w:r>
        <w:rPr>
          <w:i/>
          <w:iCs/>
          <w:color w:val="000000"/>
        </w:rPr>
        <w:t>must</w:t>
      </w:r>
      <w:r>
        <w:rPr>
          <w:color w:val="000000"/>
        </w:rPr>
        <w:t xml:space="preserve"> (subsection (a)) and </w:t>
      </w:r>
      <w:r>
        <w:rPr>
          <w:i/>
          <w:iCs/>
          <w:color w:val="000000"/>
        </w:rPr>
        <w:t xml:space="preserve">may </w:t>
      </w:r>
      <w:r>
        <w:rPr>
          <w:color w:val="000000"/>
        </w:rPr>
        <w:t>(subsection (b)) contain in order to be confirmed.</w:t>
      </w:r>
    </w:p>
    <w:p w14:paraId="0A4EA4B1" w14:textId="77777777" w:rsidR="00A77BBD" w:rsidRDefault="00A77BBD" w:rsidP="00A77BBD">
      <w:pPr>
        <w:pStyle w:val="BodyTextFirstIndent"/>
      </w:pPr>
      <w:r>
        <w:rPr>
          <w:color w:val="000000"/>
        </w:rPr>
        <w:t>We can quickly dispense with the notion that Section 1123(b)(6) provides the substantive authority for a Section 105(a) injunction or approval of a release.</w:t>
      </w:r>
    </w:p>
    <w:p w14:paraId="0610CC22" w14:textId="3797E940" w:rsidR="00A77BBD" w:rsidRDefault="00A77BBD" w:rsidP="00A77BBD">
      <w:pPr>
        <w:pStyle w:val="BodyTextFirstIndent"/>
      </w:pPr>
      <w:r>
        <w:rPr>
          <w:color w:val="000000"/>
        </w:rPr>
        <w:t>Section 1123(b)(6) provides that a plan may “include any other appropriate provision not inconsistent with the applicable provisions of this title.”</w:t>
      </w:r>
      <w:r w:rsidR="003E7DC0">
        <w:rPr>
          <w:color w:val="000000"/>
        </w:rPr>
        <w:t xml:space="preserve"> </w:t>
      </w:r>
      <w:hyperlink r:id="rId208" w:history="1">
        <w:r>
          <w:rPr>
            <w:color w:val="000000"/>
          </w:rPr>
          <w:t xml:space="preserve"> 11 U.S.C § 1123(b)(6)</w:t>
        </w:r>
      </w:hyperlink>
      <w:r w:rsidR="006A227C">
        <w:rPr>
          <w:color w:val="000000"/>
        </w:rPr>
        <w:t xml:space="preserve">.  </w:t>
      </w:r>
      <w:r>
        <w:rPr>
          <w:color w:val="000000"/>
        </w:rPr>
        <w:t>In form</w:t>
      </w:r>
      <w:r w:rsidR="008B54D4">
        <w:rPr>
          <w:color w:val="000000"/>
        </w:rPr>
        <w:t>,</w:t>
      </w:r>
      <w:r>
        <w:rPr>
          <w:color w:val="000000"/>
        </w:rPr>
        <w:t xml:space="preserve"> Section 1123(b)(6) is substantively analogous to Section 105(a)</w:t>
      </w:r>
      <w:r w:rsidR="008B54D4">
        <w:rPr>
          <w:color w:val="000000"/>
        </w:rPr>
        <w:t>’</w:t>
      </w:r>
      <w:r>
        <w:rPr>
          <w:color w:val="000000"/>
        </w:rPr>
        <w:t>s authorization of “any order</w:t>
      </w:r>
      <w:r w:rsidR="008B54D4">
        <w:rPr>
          <w:color w:val="000000"/>
        </w:rPr>
        <w:t>,</w:t>
      </w:r>
      <w:r>
        <w:rPr>
          <w:color w:val="000000"/>
        </w:rPr>
        <w:t xml:space="preserve"> process</w:t>
      </w:r>
      <w:r w:rsidR="008B54D4">
        <w:rPr>
          <w:color w:val="000000"/>
        </w:rPr>
        <w:t>,</w:t>
      </w:r>
      <w:r>
        <w:rPr>
          <w:color w:val="000000"/>
        </w:rPr>
        <w:t xml:space="preserve"> or judgment that is necessary or appropriate to carry out the provisions of this title.”</w:t>
      </w:r>
      <w:hyperlink r:id="rId209" w:history="1">
        <w:r>
          <w:rPr>
            <w:color w:val="000000"/>
          </w:rPr>
          <w:t xml:space="preserve"> </w:t>
        </w:r>
        <w:r w:rsidR="003E7DC0">
          <w:rPr>
            <w:color w:val="000000"/>
          </w:rPr>
          <w:t xml:space="preserve"> </w:t>
        </w:r>
        <w:r>
          <w:rPr>
            <w:color w:val="000000"/>
          </w:rPr>
          <w:t xml:space="preserve">11 </w:t>
        </w:r>
        <w:r w:rsidR="00522B24">
          <w:rPr>
            <w:color w:val="000000"/>
          </w:rPr>
          <w:t xml:space="preserve">U.S.C. </w:t>
        </w:r>
        <w:r>
          <w:rPr>
            <w:color w:val="000000"/>
          </w:rPr>
          <w:t>§</w:t>
        </w:r>
      </w:hyperlink>
      <w:r>
        <w:rPr>
          <w:color w:val="000000"/>
        </w:rPr>
        <w:t xml:space="preserve"> </w:t>
      </w:r>
      <w:hyperlink r:id="rId210" w:history="1">
        <w:r>
          <w:rPr>
            <w:color w:val="000000"/>
          </w:rPr>
          <w:t>105(a)</w:t>
        </w:r>
      </w:hyperlink>
      <w:r w:rsidR="006A227C">
        <w:rPr>
          <w:color w:val="000000"/>
        </w:rPr>
        <w:t xml:space="preserve">.  </w:t>
      </w:r>
      <w:r>
        <w:rPr>
          <w:color w:val="000000"/>
        </w:rPr>
        <w:t>If the latter does not confer any substantive authority on the bankruptcy court - and that proposition is well settled</w:t>
      </w:r>
      <w:r w:rsidR="008B54D4">
        <w:rPr>
          <w:color w:val="000000"/>
        </w:rPr>
        <w:t>,</w:t>
      </w:r>
      <w:r>
        <w:rPr>
          <w:color w:val="000000"/>
        </w:rPr>
        <w:t xml:space="preserve"> at least in this Circuit - then the former can in no way be read to do so.</w:t>
      </w:r>
    </w:p>
    <w:p w14:paraId="4D73DFCF" w14:textId="292EECC8" w:rsidR="00A77BBD" w:rsidRDefault="00A77BBD" w:rsidP="00A77BBD">
      <w:pPr>
        <w:pStyle w:val="BodyTextFirstIndent"/>
      </w:pPr>
      <w:r>
        <w:rPr>
          <w:color w:val="000000"/>
        </w:rPr>
        <w:t>That alone would be reason to conclude that Section 1123(b)(6) does not provide the statutory authorization we are seeking</w:t>
      </w:r>
      <w:r w:rsidR="006A227C">
        <w:rPr>
          <w:color w:val="000000"/>
        </w:rPr>
        <w:t xml:space="preserve">.  </w:t>
      </w:r>
      <w:r>
        <w:rPr>
          <w:color w:val="000000"/>
        </w:rPr>
        <w:t>But as Appell</w:t>
      </w:r>
      <w:r w:rsidR="003E441B">
        <w:rPr>
          <w:color w:val="000000"/>
        </w:rPr>
        <w:t>ee</w:t>
      </w:r>
      <w:r>
        <w:rPr>
          <w:color w:val="000000"/>
        </w:rPr>
        <w:t>s point out</w:t>
      </w:r>
      <w:r w:rsidR="008B54D4">
        <w:rPr>
          <w:color w:val="000000"/>
        </w:rPr>
        <w:t>,</w:t>
      </w:r>
      <w:r>
        <w:rPr>
          <w:color w:val="000000"/>
        </w:rPr>
        <w:t xml:space="preserve"> various aspects of the non</w:t>
      </w:r>
      <w:r>
        <w:rPr>
          <w:color w:val="000000"/>
        </w:rPr>
        <w:softHyphen/>
        <w:t>consensual Section 10.7 Shareholder Release are indeed inconsistent with certain other provisions of title 11.</w:t>
      </w:r>
    </w:p>
    <w:p w14:paraId="54379808" w14:textId="77777777" w:rsidR="000E09FD" w:rsidRDefault="00A77BBD" w:rsidP="00A77BBD">
      <w:pPr>
        <w:pStyle w:val="BodyTextFirstIndent"/>
        <w:rPr>
          <w:color w:val="000000"/>
        </w:rPr>
      </w:pPr>
      <w:r>
        <w:rPr>
          <w:color w:val="000000"/>
        </w:rPr>
        <w:t>First and foremost</w:t>
      </w:r>
      <w:r w:rsidR="008B54D4">
        <w:rPr>
          <w:color w:val="000000"/>
        </w:rPr>
        <w:t>,</w:t>
      </w:r>
      <w:r>
        <w:rPr>
          <w:color w:val="000000"/>
        </w:rPr>
        <w:t xml:space="preserve"> the Section 10.7 Shareholder Release is inconsistent with the Bankruptcy Code because it discharges a non-debtor from debts that Congress specifically said could not be discharged by a debtor in bankruptcy</w:t>
      </w:r>
      <w:r w:rsidR="006A227C">
        <w:rPr>
          <w:color w:val="000000"/>
        </w:rPr>
        <w:t xml:space="preserve">.  </w:t>
      </w:r>
      <w:r>
        <w:rPr>
          <w:color w:val="000000"/>
        </w:rPr>
        <w:t>The Section 10.7 Shareholder Release does not carve out or exempt claims for fraud or willful and malicious conduct</w:t>
      </w:r>
      <w:r w:rsidR="008B54D4">
        <w:rPr>
          <w:color w:val="000000"/>
        </w:rPr>
        <w:t>,</w:t>
      </w:r>
      <w:r>
        <w:rPr>
          <w:color w:val="000000"/>
        </w:rPr>
        <w:t xml:space="preserve"> liabilities from which </w:t>
      </w:r>
      <w:r w:rsidR="006239B5">
        <w:rPr>
          <w:color w:val="000000"/>
        </w:rPr>
        <w:t>Oxy</w:t>
      </w:r>
      <w:r>
        <w:rPr>
          <w:color w:val="000000"/>
        </w:rPr>
        <w:t xml:space="preserve"> cannot be discharged in its own bankruptcy</w:t>
      </w:r>
      <w:r w:rsidR="006A227C">
        <w:rPr>
          <w:color w:val="000000"/>
        </w:rPr>
        <w:t xml:space="preserve">.  </w:t>
      </w:r>
      <w:r>
        <w:rPr>
          <w:i/>
          <w:iCs/>
          <w:color w:val="000000"/>
        </w:rPr>
        <w:t>See</w:t>
      </w:r>
      <w:hyperlink r:id="rId211" w:history="1">
        <w:r>
          <w:rPr>
            <w:color w:val="000000"/>
          </w:rPr>
          <w:t xml:space="preserve"> 11 </w:t>
        </w:r>
        <w:r w:rsidR="00522B24">
          <w:rPr>
            <w:color w:val="000000"/>
          </w:rPr>
          <w:t xml:space="preserve">U.S.C. </w:t>
        </w:r>
        <w:r>
          <w:rPr>
            <w:color w:val="000000"/>
          </w:rPr>
          <w:t>§§ 523(a)(2)</w:t>
        </w:r>
      </w:hyperlink>
      <w:r w:rsidR="008B54D4">
        <w:rPr>
          <w:color w:val="000000"/>
        </w:rPr>
        <w:t>,</w:t>
      </w:r>
      <w:hyperlink r:id="rId212" w:history="1">
        <w:r>
          <w:rPr>
            <w:color w:val="000000"/>
          </w:rPr>
          <w:t xml:space="preserve"> (4)</w:t>
        </w:r>
      </w:hyperlink>
      <w:r w:rsidR="008B54D4">
        <w:rPr>
          <w:color w:val="000000"/>
        </w:rPr>
        <w:t>,</w:t>
      </w:r>
      <w:hyperlink r:id="rId213" w:history="1">
        <w:r>
          <w:rPr>
            <w:color w:val="000000"/>
          </w:rPr>
          <w:t xml:space="preserve"> (6)</w:t>
        </w:r>
      </w:hyperlink>
      <w:r w:rsidR="006A227C">
        <w:rPr>
          <w:color w:val="000000"/>
        </w:rPr>
        <w:t xml:space="preserve">.  </w:t>
      </w:r>
      <w:r>
        <w:rPr>
          <w:color w:val="000000"/>
        </w:rPr>
        <w:t>Reading the Bankruptcy Code as authorizing a bankruptcy court to discharge a non-debtor from fraud liability - something it is strictly forbidden from doing for a debtor - cannot be squared with the fact that Congress intended that the Bankruptcy Code “ensure that all debts arising out of fraud are excepted from discharge no matter what their form</w:t>
      </w:r>
      <w:r w:rsidR="00FA79C1">
        <w:rPr>
          <w:color w:val="000000"/>
        </w:rPr>
        <w:t xml:space="preserve">.”  </w:t>
      </w:r>
      <w:r>
        <w:rPr>
          <w:i/>
          <w:iCs/>
          <w:color w:val="000000"/>
        </w:rPr>
        <w:t>Archer</w:t>
      </w:r>
      <w:r w:rsidR="00E150C1">
        <w:rPr>
          <w:i/>
          <w:iCs/>
          <w:color w:val="000000"/>
        </w:rPr>
        <w:t xml:space="preserve"> v. </w:t>
      </w:r>
      <w:r>
        <w:rPr>
          <w:i/>
          <w:iCs/>
          <w:color w:val="000000"/>
        </w:rPr>
        <w:t>Warner</w:t>
      </w:r>
      <w:r w:rsidR="008B54D4">
        <w:rPr>
          <w:color w:val="000000"/>
        </w:rPr>
        <w:t>,</w:t>
      </w:r>
      <w:hyperlink r:id="rId214" w:history="1">
        <w:r>
          <w:rPr>
            <w:color w:val="000000"/>
          </w:rPr>
          <w:t xml:space="preserve"> 538 </w:t>
        </w:r>
        <w:r w:rsidR="002F10FB">
          <w:rPr>
            <w:color w:val="000000"/>
          </w:rPr>
          <w:t xml:space="preserve">U.S. </w:t>
        </w:r>
        <w:r>
          <w:rPr>
            <w:color w:val="000000"/>
          </w:rPr>
          <w:t>314</w:t>
        </w:r>
        <w:r w:rsidR="008B54D4">
          <w:rPr>
            <w:color w:val="000000"/>
          </w:rPr>
          <w:t>,</w:t>
        </w:r>
        <w:r>
          <w:rPr>
            <w:color w:val="000000"/>
          </w:rPr>
          <w:t xml:space="preserve"> 321 </w:t>
        </w:r>
      </w:hyperlink>
      <w:r>
        <w:rPr>
          <w:color w:val="000000"/>
        </w:rPr>
        <w:t>(2003)</w:t>
      </w:r>
      <w:r w:rsidR="003E7DC0">
        <w:rPr>
          <w:color w:val="000000"/>
        </w:rPr>
        <w:t xml:space="preserve"> </w:t>
      </w:r>
      <w:r>
        <w:rPr>
          <w:color w:val="000000"/>
        </w:rPr>
        <w:t>(internal citation omitted)</w:t>
      </w:r>
      <w:r w:rsidR="006A227C">
        <w:rPr>
          <w:color w:val="000000"/>
        </w:rPr>
        <w:t xml:space="preserve">.  </w:t>
      </w:r>
    </w:p>
    <w:p w14:paraId="7D869A08" w14:textId="37585EBF" w:rsidR="00A77BBD" w:rsidRDefault="00A77BBD" w:rsidP="00A77BBD">
      <w:pPr>
        <w:pStyle w:val="BodyTextFirstIndent"/>
      </w:pPr>
      <w:r>
        <w:rPr>
          <w:color w:val="000000"/>
        </w:rPr>
        <w:t>In other cases in which the releases at issue called for relief from suit that encompassed otherwise non-dischargeable claims</w:t>
      </w:r>
      <w:r w:rsidR="008B54D4">
        <w:rPr>
          <w:color w:val="000000"/>
        </w:rPr>
        <w:t>,</w:t>
      </w:r>
      <w:r>
        <w:rPr>
          <w:color w:val="000000"/>
        </w:rPr>
        <w:t xml:space="preserve"> courts either ensured fraud claims were exempt from the releases before approving them</w:t>
      </w:r>
      <w:r w:rsidR="008B54D4">
        <w:rPr>
          <w:color w:val="000000"/>
        </w:rPr>
        <w:t>,</w:t>
      </w:r>
      <w:r>
        <w:rPr>
          <w:color w:val="000000"/>
        </w:rPr>
        <w:t xml:space="preserve"> </w:t>
      </w:r>
      <w:r>
        <w:rPr>
          <w:i/>
          <w:iCs/>
          <w:color w:val="000000"/>
        </w:rPr>
        <w:t>In re Airadigm Commc</w:t>
      </w:r>
      <w:r w:rsidR="008B54D4">
        <w:rPr>
          <w:i/>
          <w:iCs/>
          <w:color w:val="000000"/>
        </w:rPr>
        <w:t>’</w:t>
      </w:r>
      <w:r>
        <w:rPr>
          <w:i/>
          <w:iCs/>
          <w:color w:val="000000"/>
        </w:rPr>
        <w:t>ns</w:t>
      </w:r>
      <w:r w:rsidR="008B54D4">
        <w:rPr>
          <w:i/>
          <w:iCs/>
          <w:color w:val="000000"/>
        </w:rPr>
        <w:t>,</w:t>
      </w:r>
      <w:r>
        <w:rPr>
          <w:i/>
          <w:iCs/>
          <w:color w:val="000000"/>
        </w:rPr>
        <w:t xml:space="preserve"> Inc</w:t>
      </w:r>
      <w:r>
        <w:rPr>
          <w:color w:val="000000"/>
        </w:rPr>
        <w:t>.</w:t>
      </w:r>
      <w:r w:rsidR="008B54D4">
        <w:rPr>
          <w:color w:val="000000"/>
        </w:rPr>
        <w:t>,</w:t>
      </w:r>
      <w:hyperlink r:id="rId215" w:history="1">
        <w:r>
          <w:rPr>
            <w:color w:val="000000"/>
          </w:rPr>
          <w:t xml:space="preserve"> 519 F.3d 640</w:t>
        </w:r>
        <w:r w:rsidR="008B54D4">
          <w:rPr>
            <w:color w:val="000000"/>
          </w:rPr>
          <w:t>,</w:t>
        </w:r>
      </w:hyperlink>
      <w:r w:rsidR="003E7DC0">
        <w:rPr>
          <w:color w:val="000000"/>
        </w:rPr>
        <w:t xml:space="preserve"> </w:t>
      </w:r>
      <w:hyperlink r:id="rId216" w:history="1">
        <w:r>
          <w:rPr>
            <w:color w:val="000000"/>
          </w:rPr>
          <w:t>657</w:t>
        </w:r>
      </w:hyperlink>
      <w:r>
        <w:rPr>
          <w:color w:val="000000"/>
        </w:rPr>
        <w:t xml:space="preserve"> (7th </w:t>
      </w:r>
      <w:r w:rsidR="00E97455">
        <w:rPr>
          <w:color w:val="000000"/>
        </w:rPr>
        <w:t xml:space="preserve">Cir. </w:t>
      </w:r>
      <w:r>
        <w:rPr>
          <w:color w:val="000000"/>
        </w:rPr>
        <w:t>2008)</w:t>
      </w:r>
      <w:r w:rsidR="008B54D4">
        <w:rPr>
          <w:color w:val="000000"/>
        </w:rPr>
        <w:t>,</w:t>
      </w:r>
      <w:r>
        <w:rPr>
          <w:color w:val="000000"/>
        </w:rPr>
        <w:t xml:space="preserve"> or simply refused to approve the releases because they included otherwise non-dischargeable claims</w:t>
      </w:r>
      <w:r w:rsidR="006A227C">
        <w:rPr>
          <w:color w:val="000000"/>
        </w:rPr>
        <w:t xml:space="preserve">.  </w:t>
      </w:r>
      <w:r>
        <w:rPr>
          <w:i/>
          <w:iCs/>
          <w:color w:val="000000"/>
        </w:rPr>
        <w:t>See e.g</w:t>
      </w:r>
      <w:r>
        <w:rPr>
          <w:color w:val="000000"/>
        </w:rPr>
        <w:t>.</w:t>
      </w:r>
      <w:r w:rsidR="008B54D4">
        <w:rPr>
          <w:color w:val="000000"/>
        </w:rPr>
        <w:t>,</w:t>
      </w:r>
      <w:r>
        <w:rPr>
          <w:color w:val="000000"/>
        </w:rPr>
        <w:t xml:space="preserve"> </w:t>
      </w:r>
      <w:r>
        <w:rPr>
          <w:i/>
          <w:iCs/>
          <w:color w:val="000000"/>
        </w:rPr>
        <w:t>In re Fusion Connect</w:t>
      </w:r>
      <w:r w:rsidR="008B54D4">
        <w:rPr>
          <w:i/>
          <w:iCs/>
          <w:color w:val="000000"/>
        </w:rPr>
        <w:t>,</w:t>
      </w:r>
      <w:r>
        <w:rPr>
          <w:i/>
          <w:iCs/>
          <w:color w:val="000000"/>
        </w:rPr>
        <w:t xml:space="preserve"> Inc</w:t>
      </w:r>
      <w:r>
        <w:rPr>
          <w:color w:val="000000"/>
        </w:rPr>
        <w:t>.</w:t>
      </w:r>
      <w:r w:rsidR="008B54D4">
        <w:rPr>
          <w:color w:val="000000"/>
        </w:rPr>
        <w:t>,</w:t>
      </w:r>
      <w:r>
        <w:rPr>
          <w:color w:val="000000"/>
        </w:rPr>
        <w:t xml:space="preserve"> </w:t>
      </w:r>
      <w:r w:rsidR="002E3DAF">
        <w:rPr>
          <w:color w:val="000000"/>
        </w:rPr>
        <w:t xml:space="preserve">No. </w:t>
      </w:r>
      <w:r>
        <w:rPr>
          <w:color w:val="000000"/>
        </w:rPr>
        <w:t>20-05798</w:t>
      </w:r>
      <w:r w:rsidR="008B54D4">
        <w:rPr>
          <w:color w:val="000000"/>
        </w:rPr>
        <w:t>,</w:t>
      </w:r>
      <w:r>
        <w:rPr>
          <w:color w:val="000000"/>
        </w:rPr>
        <w:t xml:space="preserve"> </w:t>
      </w:r>
      <w:hyperlink r:id="rId217" w:history="1">
        <w:r>
          <w:rPr>
            <w:color w:val="000000"/>
          </w:rPr>
          <w:t>2021 WL 3932346</w:t>
        </w:r>
      </w:hyperlink>
      <w:r w:rsidR="008B54D4">
        <w:rPr>
          <w:color w:val="000000"/>
        </w:rPr>
        <w:t>,</w:t>
      </w:r>
      <w:r w:rsidR="003E7DC0">
        <w:rPr>
          <w:color w:val="000000"/>
        </w:rPr>
        <w:t xml:space="preserve"> </w:t>
      </w:r>
      <w:r>
        <w:rPr>
          <w:color w:val="000000"/>
        </w:rPr>
        <w:t>at *7 (S.D.N.Y</w:t>
      </w:r>
      <w:r w:rsidR="006A227C">
        <w:rPr>
          <w:color w:val="000000"/>
        </w:rPr>
        <w:t xml:space="preserve">. </w:t>
      </w:r>
      <w:r>
        <w:rPr>
          <w:color w:val="000000"/>
        </w:rPr>
        <w:t>Sept</w:t>
      </w:r>
      <w:r w:rsidR="006A227C">
        <w:rPr>
          <w:color w:val="000000"/>
        </w:rPr>
        <w:t xml:space="preserve">.  </w:t>
      </w:r>
      <w:r>
        <w:rPr>
          <w:color w:val="000000"/>
        </w:rPr>
        <w:t>2</w:t>
      </w:r>
      <w:r w:rsidR="008B54D4">
        <w:rPr>
          <w:color w:val="000000"/>
        </w:rPr>
        <w:t>,</w:t>
      </w:r>
      <w:r>
        <w:rPr>
          <w:color w:val="000000"/>
        </w:rPr>
        <w:t xml:space="preserve"> 2021) (reversing the bankruptcy court</w:t>
      </w:r>
      <w:r w:rsidR="008B54D4">
        <w:rPr>
          <w:color w:val="000000"/>
        </w:rPr>
        <w:t>’</w:t>
      </w:r>
      <w:r>
        <w:rPr>
          <w:color w:val="000000"/>
        </w:rPr>
        <w:t>s decision to discharge a debtor from an outstanding civil penalty because liability “arising from fraud on consumers” and payable to a governmental entity is “nondischargeable” in a chapter 11 bankruptcy under Section 523(a)(2))</w:t>
      </w:r>
      <w:r w:rsidR="006A227C">
        <w:rPr>
          <w:color w:val="000000"/>
        </w:rPr>
        <w:t xml:space="preserve">.  </w:t>
      </w:r>
      <w:r>
        <w:rPr>
          <w:color w:val="000000"/>
        </w:rPr>
        <w:t xml:space="preserve">Aside from </w:t>
      </w:r>
      <w:r>
        <w:rPr>
          <w:i/>
          <w:iCs/>
          <w:color w:val="000000"/>
        </w:rPr>
        <w:t>Drexel</w:t>
      </w:r>
      <w:r>
        <w:rPr>
          <w:color w:val="000000"/>
        </w:rPr>
        <w:t xml:space="preserve"> - which</w:t>
      </w:r>
      <w:r w:rsidR="008B54D4">
        <w:rPr>
          <w:color w:val="000000"/>
        </w:rPr>
        <w:t>,</w:t>
      </w:r>
      <w:r>
        <w:rPr>
          <w:color w:val="000000"/>
        </w:rPr>
        <w:t xml:space="preserve"> for all the reasons discussed above</w:t>
      </w:r>
      <w:r w:rsidR="008B54D4">
        <w:rPr>
          <w:color w:val="000000"/>
        </w:rPr>
        <w:t>,</w:t>
      </w:r>
      <w:r>
        <w:rPr>
          <w:color w:val="000000"/>
        </w:rPr>
        <w:t xml:space="preserve"> is probably no longer good law - the Second Circuit has never approved a non-consensual release of claims against non</w:t>
      </w:r>
      <w:r w:rsidR="003E7DC0">
        <w:rPr>
          <w:color w:val="000000"/>
        </w:rPr>
        <w:t>-</w:t>
      </w:r>
      <w:r>
        <w:rPr>
          <w:color w:val="000000"/>
        </w:rPr>
        <w:t>debtors of this sort</w:t>
      </w:r>
      <w:r w:rsidR="008B54D4">
        <w:rPr>
          <w:color w:val="000000"/>
        </w:rPr>
        <w:t>,</w:t>
      </w:r>
      <w:r>
        <w:rPr>
          <w:color w:val="000000"/>
        </w:rPr>
        <w:t xml:space="preserve"> nor has it ever explained what provision of the Bankruptcy Code authorizes a bankruptcy court to do so.</w:t>
      </w:r>
    </w:p>
    <w:p w14:paraId="2FD02110" w14:textId="12F3998A" w:rsidR="00A77BBD" w:rsidRDefault="00A77BBD" w:rsidP="00A77BBD">
      <w:pPr>
        <w:pStyle w:val="BodyTextFirstIndent"/>
      </w:pPr>
      <w:r>
        <w:rPr>
          <w:color w:val="000000"/>
        </w:rPr>
        <w:t>Second</w:t>
      </w:r>
      <w:r w:rsidR="008B54D4">
        <w:rPr>
          <w:color w:val="000000"/>
        </w:rPr>
        <w:t>,</w:t>
      </w:r>
      <w:r>
        <w:rPr>
          <w:color w:val="000000"/>
        </w:rPr>
        <w:t xml:space="preserve"> as the Appell</w:t>
      </w:r>
      <w:r w:rsidR="003E441B">
        <w:rPr>
          <w:color w:val="000000"/>
        </w:rPr>
        <w:t>ee</w:t>
      </w:r>
      <w:r>
        <w:rPr>
          <w:color w:val="000000"/>
        </w:rPr>
        <w:t>s point out</w:t>
      </w:r>
      <w:r w:rsidR="008B54D4">
        <w:rPr>
          <w:color w:val="000000"/>
        </w:rPr>
        <w:t>,</w:t>
      </w:r>
      <w:r>
        <w:rPr>
          <w:color w:val="000000"/>
        </w:rPr>
        <w:t xml:space="preserve"> a debtor</w:t>
      </w:r>
      <w:r w:rsidR="008B54D4">
        <w:rPr>
          <w:color w:val="000000"/>
        </w:rPr>
        <w:t>’</w:t>
      </w:r>
      <w:r>
        <w:rPr>
          <w:color w:val="000000"/>
        </w:rPr>
        <w:t xml:space="preserve">s discharge cannot relieve him of “any debt </w:t>
      </w:r>
      <w:r w:rsidR="00110F91">
        <w:rPr>
          <w:color w:val="000000"/>
        </w:rPr>
        <w:t xml:space="preserve">. . . </w:t>
      </w:r>
      <w:r>
        <w:rPr>
          <w:color w:val="000000"/>
        </w:rPr>
        <w:t>to the extent such debt is for a fine</w:t>
      </w:r>
      <w:r w:rsidR="008B54D4">
        <w:rPr>
          <w:color w:val="000000"/>
        </w:rPr>
        <w:t>,</w:t>
      </w:r>
      <w:r>
        <w:rPr>
          <w:color w:val="000000"/>
        </w:rPr>
        <w:t xml:space="preserve"> penalty</w:t>
      </w:r>
      <w:r w:rsidR="008B54D4">
        <w:rPr>
          <w:color w:val="000000"/>
        </w:rPr>
        <w:t>,</w:t>
      </w:r>
      <w:r>
        <w:rPr>
          <w:color w:val="000000"/>
        </w:rPr>
        <w:t xml:space="preserve"> or forfeiture payable to and for the benefit of a governmental unit</w:t>
      </w:r>
      <w:r w:rsidR="008B54D4">
        <w:rPr>
          <w:color w:val="000000"/>
        </w:rPr>
        <w:t>,</w:t>
      </w:r>
      <w:r>
        <w:rPr>
          <w:color w:val="000000"/>
        </w:rPr>
        <w:t xml:space="preserve"> and is not compensation for actual pecuniary loss</w:t>
      </w:r>
      <w:r w:rsidR="008B54D4">
        <w:rPr>
          <w:color w:val="000000"/>
        </w:rPr>
        <w:t>,</w:t>
      </w:r>
      <w:r>
        <w:rPr>
          <w:color w:val="000000"/>
        </w:rPr>
        <w:t xml:space="preserve"> other than a tax penalty</w:t>
      </w:r>
      <w:r w:rsidR="006A227C">
        <w:rPr>
          <w:color w:val="000000"/>
        </w:rPr>
        <w:t xml:space="preserve">. . </w:t>
      </w:r>
      <w:r w:rsidR="00FA79C1">
        <w:rPr>
          <w:color w:val="000000"/>
        </w:rPr>
        <w:t xml:space="preserve">.”  </w:t>
      </w:r>
      <w:hyperlink r:id="rId218" w:history="1">
        <w:r>
          <w:rPr>
            <w:color w:val="000000"/>
          </w:rPr>
          <w:t xml:space="preserve">11 </w:t>
        </w:r>
        <w:r w:rsidR="00522B24">
          <w:rPr>
            <w:color w:val="000000"/>
          </w:rPr>
          <w:t xml:space="preserve">U.S.C. </w:t>
        </w:r>
        <w:r>
          <w:rPr>
            <w:color w:val="000000"/>
          </w:rPr>
          <w:t>§ 523(a)(7)</w:t>
        </w:r>
      </w:hyperlink>
      <w:r w:rsidR="006A227C">
        <w:rPr>
          <w:color w:val="000000"/>
        </w:rPr>
        <w:t xml:space="preserve">.  </w:t>
      </w:r>
      <w:r>
        <w:rPr>
          <w:color w:val="000000"/>
        </w:rPr>
        <w:t>At least some of the claims asserted by the Appell</w:t>
      </w:r>
      <w:r w:rsidR="003E441B">
        <w:rPr>
          <w:color w:val="000000"/>
        </w:rPr>
        <w:t xml:space="preserve">ees </w:t>
      </w:r>
      <w:r>
        <w:rPr>
          <w:color w:val="000000"/>
        </w:rPr>
        <w:t>seek relief in the nature of non-dischargeable civil penalties payable to and for the benefit of governmental units</w:t>
      </w:r>
      <w:r w:rsidR="006A227C">
        <w:rPr>
          <w:color w:val="000000"/>
        </w:rPr>
        <w:t xml:space="preserve">.  </w:t>
      </w:r>
      <w:r>
        <w:rPr>
          <w:color w:val="000000"/>
        </w:rPr>
        <w:t xml:space="preserve">Such claims could not be discharged if the </w:t>
      </w:r>
      <w:r w:rsidR="00E82FD6">
        <w:rPr>
          <w:color w:val="000000"/>
        </w:rPr>
        <w:t>Packler</w:t>
      </w:r>
      <w:r>
        <w:rPr>
          <w:color w:val="000000"/>
        </w:rPr>
        <w:t>s had filed for personal bankruptcy.</w:t>
      </w:r>
    </w:p>
    <w:p w14:paraId="04B3E5A3" w14:textId="0054946A" w:rsidR="00A77BBD" w:rsidRDefault="00A77BBD" w:rsidP="00A77BBD">
      <w:pPr>
        <w:pStyle w:val="BodyTextFirstIndent"/>
      </w:pPr>
      <w:r>
        <w:rPr>
          <w:color w:val="000000"/>
        </w:rPr>
        <w:t>Appell</w:t>
      </w:r>
      <w:r w:rsidR="003E441B">
        <w:rPr>
          <w:color w:val="000000"/>
        </w:rPr>
        <w:t>ee</w:t>
      </w:r>
      <w:r>
        <w:rPr>
          <w:color w:val="000000"/>
        </w:rPr>
        <w:t>s also argue that the Section 10.7 Shareholder Release and corresponding injunctions are inconsistent with Section 524(e) of the Bankruptcy Code</w:t>
      </w:r>
      <w:r w:rsidR="008B54D4">
        <w:rPr>
          <w:color w:val="000000"/>
        </w:rPr>
        <w:t>,</w:t>
      </w:r>
      <w:r>
        <w:rPr>
          <w:color w:val="000000"/>
        </w:rPr>
        <w:t xml:space="preserve"> which provides that “discharge of a debt of the debtor does not affect the liability of any other entity on</w:t>
      </w:r>
      <w:r w:rsidR="008B54D4">
        <w:rPr>
          <w:color w:val="000000"/>
        </w:rPr>
        <w:t>,</w:t>
      </w:r>
      <w:r>
        <w:rPr>
          <w:color w:val="000000"/>
        </w:rPr>
        <w:t xml:space="preserve"> or the property of any other entity for</w:t>
      </w:r>
      <w:r w:rsidR="008B54D4">
        <w:rPr>
          <w:color w:val="000000"/>
        </w:rPr>
        <w:t>,</w:t>
      </w:r>
      <w:r>
        <w:rPr>
          <w:color w:val="000000"/>
        </w:rPr>
        <w:t xml:space="preserve"> such debt.”</w:t>
      </w:r>
      <w:r w:rsidR="003E7DC0">
        <w:rPr>
          <w:color w:val="000000"/>
        </w:rPr>
        <w:t xml:space="preserve"> </w:t>
      </w:r>
      <w:hyperlink r:id="rId219" w:history="1">
        <w:r>
          <w:rPr>
            <w:color w:val="000000"/>
          </w:rPr>
          <w:t xml:space="preserve"> 11 </w:t>
        </w:r>
        <w:r w:rsidR="00522B24">
          <w:rPr>
            <w:color w:val="000000"/>
          </w:rPr>
          <w:t xml:space="preserve">U.S.C. </w:t>
        </w:r>
        <w:r>
          <w:rPr>
            <w:color w:val="000000"/>
          </w:rPr>
          <w:t>§ 524(e)</w:t>
        </w:r>
      </w:hyperlink>
      <w:r w:rsidR="006A227C">
        <w:rPr>
          <w:color w:val="000000"/>
        </w:rPr>
        <w:t xml:space="preserve">.  </w:t>
      </w:r>
      <w:r>
        <w:rPr>
          <w:color w:val="000000"/>
        </w:rPr>
        <w:t>On the facts of this case</w:t>
      </w:r>
      <w:r w:rsidR="008B54D4">
        <w:rPr>
          <w:color w:val="000000"/>
        </w:rPr>
        <w:t>,</w:t>
      </w:r>
      <w:r>
        <w:rPr>
          <w:color w:val="000000"/>
        </w:rPr>
        <w:t xml:space="preserve"> </w:t>
      </w:r>
      <w:r w:rsidR="003E441B">
        <w:rPr>
          <w:color w:val="000000"/>
        </w:rPr>
        <w:t>we</w:t>
      </w:r>
      <w:r>
        <w:rPr>
          <w:color w:val="000000"/>
        </w:rPr>
        <w:t xml:space="preserve"> cannot agree with that argument - but not because the Code is silent on the subject.</w:t>
      </w:r>
    </w:p>
    <w:p w14:paraId="047D5418" w14:textId="52CCB9AC" w:rsidR="00A77BBD" w:rsidRDefault="00A77BBD" w:rsidP="00A77BBD">
      <w:pPr>
        <w:pStyle w:val="BodyTextFirstIndent"/>
      </w:pPr>
      <w:r>
        <w:rPr>
          <w:color w:val="000000"/>
        </w:rPr>
        <w:t>Section 524(e) says</w:t>
      </w:r>
      <w:r w:rsidR="008B54D4">
        <w:rPr>
          <w:color w:val="000000"/>
        </w:rPr>
        <w:t>,</w:t>
      </w:r>
      <w:r>
        <w:rPr>
          <w:color w:val="000000"/>
        </w:rPr>
        <w:t xml:space="preserve"> in sum and substance</w:t>
      </w:r>
      <w:r w:rsidR="008B54D4">
        <w:rPr>
          <w:color w:val="000000"/>
        </w:rPr>
        <w:t>,</w:t>
      </w:r>
      <w:r>
        <w:rPr>
          <w:color w:val="000000"/>
        </w:rPr>
        <w:t xml:space="preserve"> that releasing a debtor on a debt owed to a creditor does not affect the liability that a non-debtor may have for the same debt</w:t>
      </w:r>
      <w:r w:rsidR="006A227C">
        <w:rPr>
          <w:color w:val="000000"/>
        </w:rPr>
        <w:t xml:space="preserve">.  </w:t>
      </w:r>
      <w:r>
        <w:rPr>
          <w:color w:val="000000"/>
        </w:rPr>
        <w:t xml:space="preserve">But the claims that would be released by the Section 10.7 Shareholder Release are not claims on which the </w:t>
      </w:r>
      <w:r w:rsidR="00E82FD6">
        <w:rPr>
          <w:color w:val="000000"/>
        </w:rPr>
        <w:t>Packler</w:t>
      </w:r>
      <w:r>
        <w:rPr>
          <w:color w:val="000000"/>
        </w:rPr>
        <w:t xml:space="preserve">s are jointly liable with </w:t>
      </w:r>
      <w:r w:rsidR="006239B5">
        <w:rPr>
          <w:color w:val="000000"/>
        </w:rPr>
        <w:t>Oxy</w:t>
      </w:r>
      <w:r w:rsidR="006A227C">
        <w:rPr>
          <w:color w:val="000000"/>
        </w:rPr>
        <w:t xml:space="preserve">.  </w:t>
      </w:r>
      <w:r>
        <w:rPr>
          <w:color w:val="000000"/>
        </w:rPr>
        <w:t xml:space="preserve">The various state statutes being invoked by Appellants give rise to </w:t>
      </w:r>
      <w:r w:rsidR="00E82FD6">
        <w:rPr>
          <w:color w:val="000000"/>
        </w:rPr>
        <w:t>Packler</w:t>
      </w:r>
      <w:r>
        <w:rPr>
          <w:color w:val="000000"/>
        </w:rPr>
        <w:t xml:space="preserve"> liability </w:t>
      </w:r>
      <w:r>
        <w:rPr>
          <w:i/>
          <w:iCs/>
          <w:color w:val="000000"/>
        </w:rPr>
        <w:t>independent</w:t>
      </w:r>
      <w:r>
        <w:rPr>
          <w:color w:val="000000"/>
        </w:rPr>
        <w:t xml:space="preserve"> of </w:t>
      </w:r>
      <w:r w:rsidR="006239B5">
        <w:rPr>
          <w:color w:val="000000"/>
        </w:rPr>
        <w:t>Oxy</w:t>
      </w:r>
      <w:r w:rsidR="008B54D4">
        <w:rPr>
          <w:color w:val="000000"/>
        </w:rPr>
        <w:t>’</w:t>
      </w:r>
      <w:r>
        <w:rPr>
          <w:color w:val="000000"/>
        </w:rPr>
        <w:t>s liability - albeit for the very same violations of the very same laws - because those laws impose an independent duty on persons who occupy certain managerial positions in a corporation</w:t>
      </w:r>
      <w:r w:rsidR="006A227C">
        <w:rPr>
          <w:color w:val="000000"/>
        </w:rPr>
        <w:t xml:space="preserve">.  </w:t>
      </w:r>
      <w:r>
        <w:rPr>
          <w:color w:val="000000"/>
        </w:rPr>
        <w:t xml:space="preserve">We would not have this appeal if the </w:t>
      </w:r>
      <w:r w:rsidR="00E82FD6">
        <w:rPr>
          <w:color w:val="000000"/>
        </w:rPr>
        <w:t>Packler</w:t>
      </w:r>
      <w:r>
        <w:rPr>
          <w:color w:val="000000"/>
        </w:rPr>
        <w:t xml:space="preserve"> debts being eliminated by the Section 10.7 Shareholder Release were also debts owed by </w:t>
      </w:r>
      <w:r w:rsidR="006239B5">
        <w:rPr>
          <w:color w:val="000000"/>
        </w:rPr>
        <w:t>Oxy</w:t>
      </w:r>
      <w:r>
        <w:rPr>
          <w:color w:val="000000"/>
        </w:rPr>
        <w:t>; we would be back in Section 10.6 land</w:t>
      </w:r>
      <w:r w:rsidR="008B54D4">
        <w:rPr>
          <w:color w:val="000000"/>
        </w:rPr>
        <w:t>,</w:t>
      </w:r>
      <w:r>
        <w:rPr>
          <w:color w:val="000000"/>
        </w:rPr>
        <w:t xml:space="preserve"> dealing with derivative claims</w:t>
      </w:r>
      <w:r w:rsidR="008B54D4">
        <w:rPr>
          <w:color w:val="000000"/>
        </w:rPr>
        <w:t>,</w:t>
      </w:r>
      <w:r>
        <w:rPr>
          <w:color w:val="000000"/>
        </w:rPr>
        <w:t xml:space="preserve"> where the Bankruptcy Court</w:t>
      </w:r>
      <w:r w:rsidR="008B54D4">
        <w:rPr>
          <w:color w:val="000000"/>
        </w:rPr>
        <w:t>’</w:t>
      </w:r>
      <w:r>
        <w:rPr>
          <w:color w:val="000000"/>
        </w:rPr>
        <w:t>s power is unchallenged.</w:t>
      </w:r>
    </w:p>
    <w:p w14:paraId="570FC0D5" w14:textId="5A18EE37" w:rsidR="00A77BBD" w:rsidRDefault="00A77BBD" w:rsidP="00A77BBD">
      <w:pPr>
        <w:pStyle w:val="BodyTextFirstIndent"/>
      </w:pPr>
      <w:r>
        <w:rPr>
          <w:color w:val="000000"/>
        </w:rPr>
        <w:t>It is true that</w:t>
      </w:r>
      <w:r w:rsidR="008B54D4">
        <w:rPr>
          <w:color w:val="000000"/>
        </w:rPr>
        <w:t>,</w:t>
      </w:r>
      <w:r>
        <w:rPr>
          <w:color w:val="000000"/>
        </w:rPr>
        <w:t xml:space="preserve"> when passing</w:t>
      </w:r>
      <w:r w:rsidR="003E441B">
        <w:rPr>
          <w:color w:val="000000"/>
        </w:rPr>
        <w:t xml:space="preserve"> Bankruptcy Code</w:t>
      </w:r>
      <w:r>
        <w:rPr>
          <w:color w:val="000000"/>
        </w:rPr>
        <w:t xml:space="preserve"> </w:t>
      </w:r>
      <w:r w:rsidR="00216346">
        <w:rPr>
          <w:color w:val="000000"/>
        </w:rPr>
        <w:t>§</w:t>
      </w:r>
      <w:r>
        <w:rPr>
          <w:color w:val="000000"/>
        </w:rPr>
        <w:t>524(g)</w:t>
      </w:r>
      <w:r w:rsidR="008B54D4">
        <w:rPr>
          <w:color w:val="000000"/>
        </w:rPr>
        <w:t>,</w:t>
      </w:r>
      <w:r>
        <w:rPr>
          <w:color w:val="000000"/>
        </w:rPr>
        <w:t xml:space="preserve"> Congress stated explicitly that the non-debtor releases therein authorized were being allowed “notwithstanding the provisions of se</w:t>
      </w:r>
      <w:r w:rsidR="003E7DC0">
        <w:rPr>
          <w:color w:val="000000"/>
        </w:rPr>
        <w:t>c</w:t>
      </w:r>
      <w:r w:rsidR="004F2BA9">
        <w:rPr>
          <w:color w:val="000000"/>
        </w:rPr>
        <w:t>t</w:t>
      </w:r>
      <w:r w:rsidR="003E441B">
        <w:rPr>
          <w:color w:val="000000"/>
        </w:rPr>
        <w:t>ion</w:t>
      </w:r>
      <w:r w:rsidR="004F2BA9">
        <w:rPr>
          <w:color w:val="000000"/>
        </w:rPr>
        <w:t xml:space="preserve">. </w:t>
      </w:r>
      <w:r>
        <w:rPr>
          <w:color w:val="000000"/>
        </w:rPr>
        <w:t>524(e)</w:t>
      </w:r>
      <w:r w:rsidR="00FA79C1">
        <w:rPr>
          <w:color w:val="000000"/>
        </w:rPr>
        <w:t xml:space="preserve">.”  </w:t>
      </w:r>
      <w:hyperlink r:id="rId220" w:history="1">
        <w:r>
          <w:rPr>
            <w:color w:val="000000"/>
          </w:rPr>
          <w:t xml:space="preserve">11 </w:t>
        </w:r>
        <w:r w:rsidR="00522B24">
          <w:rPr>
            <w:color w:val="000000"/>
          </w:rPr>
          <w:t xml:space="preserve">U.S.C. </w:t>
        </w:r>
        <w:r>
          <w:rPr>
            <w:color w:val="000000"/>
          </w:rPr>
          <w:t>§ 524(g)</w:t>
        </w:r>
      </w:hyperlink>
      <w:r w:rsidR="006A227C">
        <w:rPr>
          <w:color w:val="000000"/>
        </w:rPr>
        <w:t xml:space="preserve">.  </w:t>
      </w:r>
      <w:r>
        <w:rPr>
          <w:color w:val="000000"/>
        </w:rPr>
        <w:t>It is hard to read that phrase and not conclude that Congress thought it was creating an exception to Section 524(e) by authorizing the release of third-party claims against non-debtors in certain limited circumstances.</w:t>
      </w:r>
    </w:p>
    <w:p w14:paraId="12659A5A" w14:textId="4BD5F3F5" w:rsidR="00A77BBD" w:rsidRDefault="00A77BBD" w:rsidP="00A77BBD">
      <w:pPr>
        <w:pStyle w:val="BodyTextFirstIndent"/>
      </w:pPr>
      <w:r>
        <w:rPr>
          <w:color w:val="000000"/>
        </w:rPr>
        <w:t>However</w:t>
      </w:r>
      <w:r w:rsidR="008B54D4">
        <w:rPr>
          <w:color w:val="000000"/>
        </w:rPr>
        <w:t>,</w:t>
      </w:r>
      <w:r>
        <w:rPr>
          <w:color w:val="000000"/>
        </w:rPr>
        <w:t xml:space="preserve"> back when Congress was considering </w:t>
      </w:r>
      <w:r w:rsidR="003E441B">
        <w:rPr>
          <w:color w:val="000000"/>
        </w:rPr>
        <w:t xml:space="preserve">Bankruptcy Code </w:t>
      </w:r>
      <w:r w:rsidR="00216346">
        <w:rPr>
          <w:color w:val="000000"/>
        </w:rPr>
        <w:t>§</w:t>
      </w:r>
      <w:r>
        <w:rPr>
          <w:color w:val="000000"/>
        </w:rPr>
        <w:t>524(g)</w:t>
      </w:r>
      <w:r w:rsidR="008B54D4">
        <w:rPr>
          <w:color w:val="000000"/>
        </w:rPr>
        <w:t>,</w:t>
      </w:r>
      <w:r>
        <w:rPr>
          <w:color w:val="000000"/>
        </w:rPr>
        <w:t xml:space="preserve"> it had before it a specific situation:  the claims being released were against non-debtor insurance companies whose liability was premised on the conduct of their insureds that fell within the terms of the policies they had issued</w:t>
      </w:r>
      <w:r w:rsidR="006A227C">
        <w:rPr>
          <w:color w:val="000000"/>
        </w:rPr>
        <w:t xml:space="preserve">.  </w:t>
      </w:r>
      <w:r>
        <w:rPr>
          <w:color w:val="000000"/>
        </w:rPr>
        <w:t xml:space="preserve">Everything that was being released was part and parcel of the bankruptcy estate; the debts owed by Manville and its insurers were the same debts; </w:t>
      </w:r>
      <w:r w:rsidR="003E441B">
        <w:rPr>
          <w:color w:val="000000"/>
        </w:rPr>
        <w:t>Section</w:t>
      </w:r>
      <w:r>
        <w:rPr>
          <w:color w:val="000000"/>
        </w:rPr>
        <w:t xml:space="preserve"> 524(e) was obviously implicated</w:t>
      </w:r>
      <w:r w:rsidR="006A227C">
        <w:rPr>
          <w:color w:val="000000"/>
        </w:rPr>
        <w:t xml:space="preserve">.  </w:t>
      </w:r>
      <w:r>
        <w:rPr>
          <w:color w:val="000000"/>
        </w:rPr>
        <w:t>There is no indication</w:t>
      </w:r>
      <w:r w:rsidR="008B54D4">
        <w:rPr>
          <w:color w:val="000000"/>
        </w:rPr>
        <w:t>,</w:t>
      </w:r>
      <w:r>
        <w:rPr>
          <w:color w:val="000000"/>
        </w:rPr>
        <w:t xml:space="preserve"> either in the text of the statute or in the legislative history</w:t>
      </w:r>
      <w:r w:rsidR="008B54D4">
        <w:rPr>
          <w:color w:val="000000"/>
        </w:rPr>
        <w:t>,</w:t>
      </w:r>
      <w:r>
        <w:rPr>
          <w:color w:val="000000"/>
        </w:rPr>
        <w:t xml:space="preserve"> that Congress ever envisioned that a bankruptcy court could discharge the debts of non-debtors that were not also debts of the debtor</w:t>
      </w:r>
      <w:r w:rsidR="006A227C">
        <w:rPr>
          <w:color w:val="000000"/>
        </w:rPr>
        <w:t xml:space="preserve">.  </w:t>
      </w:r>
      <w:r>
        <w:rPr>
          <w:color w:val="000000"/>
        </w:rPr>
        <w:t>That being so</w:t>
      </w:r>
      <w:r w:rsidR="008B54D4">
        <w:rPr>
          <w:color w:val="000000"/>
        </w:rPr>
        <w:t>,</w:t>
      </w:r>
      <w:r>
        <w:rPr>
          <w:color w:val="000000"/>
        </w:rPr>
        <w:t xml:space="preserve"> </w:t>
      </w:r>
      <w:r w:rsidR="003E441B">
        <w:rPr>
          <w:color w:val="000000"/>
        </w:rPr>
        <w:t>we</w:t>
      </w:r>
      <w:r>
        <w:rPr>
          <w:color w:val="000000"/>
        </w:rPr>
        <w:t xml:space="preserve"> cannot read the “notwithstanding” language to create an inconsistency on the facts of this case.</w:t>
      </w:r>
    </w:p>
    <w:p w14:paraId="5EDF228B" w14:textId="2925F97E" w:rsidR="00A77BBD" w:rsidRDefault="003E441B" w:rsidP="00A77BBD">
      <w:pPr>
        <w:pStyle w:val="BodyTextFirstIndent"/>
      </w:pPr>
      <w:r>
        <w:rPr>
          <w:color w:val="000000"/>
        </w:rPr>
        <w:t>We are</w:t>
      </w:r>
      <w:r w:rsidR="008B54D4">
        <w:rPr>
          <w:color w:val="000000"/>
        </w:rPr>
        <w:t>,</w:t>
      </w:r>
      <w:r w:rsidR="00A77BBD">
        <w:rPr>
          <w:color w:val="000000"/>
        </w:rPr>
        <w:t xml:space="preserve"> therefore</w:t>
      </w:r>
      <w:r w:rsidR="008B54D4">
        <w:rPr>
          <w:color w:val="000000"/>
        </w:rPr>
        <w:t>,</w:t>
      </w:r>
      <w:r w:rsidR="00A77BBD">
        <w:rPr>
          <w:color w:val="000000"/>
        </w:rPr>
        <w:t xml:space="preserve"> constrained to conclude that the Section 10.7 Shareholder Release is not inconsistent with </w:t>
      </w:r>
      <w:r w:rsidR="00DC3AE7">
        <w:rPr>
          <w:color w:val="000000"/>
        </w:rPr>
        <w:t>Section</w:t>
      </w:r>
      <w:r w:rsidR="00A77BBD">
        <w:rPr>
          <w:color w:val="000000"/>
        </w:rPr>
        <w:t xml:space="preserve"> 524(e)</w:t>
      </w:r>
      <w:r w:rsidR="00DC3AE7">
        <w:rPr>
          <w:color w:val="000000"/>
        </w:rPr>
        <w:t xml:space="preserve"> of the Bankruptcy Code</w:t>
      </w:r>
      <w:r w:rsidR="008B54D4">
        <w:rPr>
          <w:color w:val="000000"/>
        </w:rPr>
        <w:t>,</w:t>
      </w:r>
      <w:r w:rsidR="00A77BBD">
        <w:rPr>
          <w:color w:val="000000"/>
        </w:rPr>
        <w:t xml:space="preserve"> because it contains the discharge of debts that are not contemplated by </w:t>
      </w:r>
      <w:r w:rsidR="00DC3AE7">
        <w:rPr>
          <w:color w:val="000000"/>
        </w:rPr>
        <w:t>Section</w:t>
      </w:r>
      <w:r w:rsidR="00A77BBD">
        <w:rPr>
          <w:color w:val="000000"/>
        </w:rPr>
        <w:t xml:space="preserve"> 524(e)</w:t>
      </w:r>
      <w:r w:rsidR="00DC3AE7">
        <w:rPr>
          <w:color w:val="000000"/>
        </w:rPr>
        <w:t xml:space="preserve"> of the Bankruptcy Code</w:t>
      </w:r>
      <w:r w:rsidR="00A77BBD">
        <w:rPr>
          <w:color w:val="000000"/>
        </w:rPr>
        <w:t>.</w:t>
      </w:r>
    </w:p>
    <w:p w14:paraId="313D2303" w14:textId="4C446FED" w:rsidR="00A77BBD" w:rsidRDefault="00A77BBD" w:rsidP="00A77BBD">
      <w:pPr>
        <w:pStyle w:val="BodyTextFirstIndent"/>
      </w:pPr>
      <w:r>
        <w:rPr>
          <w:b/>
          <w:bCs/>
          <w:color w:val="000000"/>
          <w:u w:val="single"/>
        </w:rPr>
        <w:t>Section 1123(a)(5)</w:t>
      </w:r>
      <w:r w:rsidRPr="005B0FDA">
        <w:rPr>
          <w:color w:val="000000"/>
        </w:rPr>
        <w:t xml:space="preserve">:  </w:t>
      </w:r>
      <w:r>
        <w:rPr>
          <w:color w:val="000000"/>
        </w:rPr>
        <w:t>Section 1123(a)(5) of the Bankruptcy Code provides that a plan of reorganization must “provide adequate means for [its] implementation</w:t>
      </w:r>
      <w:r w:rsidR="00FA79C1">
        <w:rPr>
          <w:color w:val="000000"/>
        </w:rPr>
        <w:t xml:space="preserve">.”  </w:t>
      </w:r>
      <w:hyperlink r:id="rId221" w:history="1">
        <w:r>
          <w:rPr>
            <w:color w:val="000000"/>
          </w:rPr>
          <w:t xml:space="preserve">11 </w:t>
        </w:r>
        <w:r w:rsidR="00522B24">
          <w:rPr>
            <w:color w:val="000000"/>
          </w:rPr>
          <w:t xml:space="preserve">U.S.C. </w:t>
        </w:r>
        <w:r>
          <w:rPr>
            <w:color w:val="000000"/>
          </w:rPr>
          <w:t>§ 1123(a)(5)</w:t>
        </w:r>
      </w:hyperlink>
      <w:r w:rsidR="006A227C">
        <w:rPr>
          <w:color w:val="000000"/>
        </w:rPr>
        <w:t xml:space="preserve">.  </w:t>
      </w:r>
      <w:r>
        <w:rPr>
          <w:color w:val="000000"/>
        </w:rPr>
        <w:t>That section contains a laundry list of things that a plan can include in order to make sure that resources are available to implement the plan - any of which can be ordered by a bankruptcy court.</w:t>
      </w:r>
    </w:p>
    <w:p w14:paraId="1174EEE1" w14:textId="69F6FB1B" w:rsidR="00A77BBD" w:rsidRDefault="00A77BBD" w:rsidP="00A77BBD">
      <w:pPr>
        <w:pStyle w:val="BodyTextFirstIndent"/>
      </w:pPr>
      <w:r>
        <w:rPr>
          <w:color w:val="000000"/>
        </w:rPr>
        <w:t>Injunctions against the prosecution of third-party claims against non-debtors</w:t>
      </w:r>
      <w:r w:rsidR="008B54D4">
        <w:rPr>
          <w:color w:val="000000"/>
        </w:rPr>
        <w:t>,</w:t>
      </w:r>
      <w:r>
        <w:rPr>
          <w:color w:val="000000"/>
        </w:rPr>
        <w:t xml:space="preserve"> and the release of such claims</w:t>
      </w:r>
      <w:r w:rsidR="008B54D4">
        <w:rPr>
          <w:color w:val="000000"/>
        </w:rPr>
        <w:t>,</w:t>
      </w:r>
      <w:r>
        <w:rPr>
          <w:color w:val="000000"/>
        </w:rPr>
        <w:t xml:space="preserve"> are nowhere to be found on that list</w:t>
      </w:r>
      <w:r w:rsidR="006A227C">
        <w:rPr>
          <w:color w:val="000000"/>
        </w:rPr>
        <w:t xml:space="preserve">.  </w:t>
      </w:r>
      <w:r>
        <w:rPr>
          <w:color w:val="000000"/>
        </w:rPr>
        <w:t xml:space="preserve">Every single example listed in Subsections 5(A) through (J) authorizes the court to do something with the </w:t>
      </w:r>
      <w:r>
        <w:rPr>
          <w:i/>
          <w:iCs/>
          <w:color w:val="000000"/>
        </w:rPr>
        <w:t>debtor</w:t>
      </w:r>
      <w:r w:rsidR="008B54D4">
        <w:rPr>
          <w:i/>
          <w:iCs/>
          <w:color w:val="000000"/>
        </w:rPr>
        <w:t>’</w:t>
      </w:r>
      <w:r>
        <w:rPr>
          <w:i/>
          <w:iCs/>
          <w:color w:val="000000"/>
        </w:rPr>
        <w:t xml:space="preserve">s assets </w:t>
      </w:r>
      <w:r>
        <w:rPr>
          <w:color w:val="000000"/>
        </w:rPr>
        <w:t>(retaining estate property; transfer of property; sale of property; satisfaction or modification of a lien; cancellation or modification of an indenture or similar instrument; curing or waiving defaults; extension of maturity dates; issuing securities; even amending the debtor</w:t>
      </w:r>
      <w:r w:rsidR="008B54D4">
        <w:rPr>
          <w:color w:val="000000"/>
        </w:rPr>
        <w:t>’</w:t>
      </w:r>
      <w:r>
        <w:rPr>
          <w:color w:val="000000"/>
        </w:rPr>
        <w:t>s charter)</w:t>
      </w:r>
      <w:r w:rsidR="006A227C">
        <w:rPr>
          <w:color w:val="000000"/>
        </w:rPr>
        <w:t xml:space="preserve">.  </w:t>
      </w:r>
      <w:r>
        <w:rPr>
          <w:color w:val="000000"/>
        </w:rPr>
        <w:t xml:space="preserve">Since the </w:t>
      </w:r>
      <w:r w:rsidR="00DC3AE7">
        <w:rPr>
          <w:color w:val="000000"/>
        </w:rPr>
        <w:t>B</w:t>
      </w:r>
      <w:r>
        <w:rPr>
          <w:color w:val="000000"/>
        </w:rPr>
        <w:t xml:space="preserve">ankruptcy </w:t>
      </w:r>
      <w:r w:rsidR="00DC3AE7">
        <w:rPr>
          <w:color w:val="000000"/>
        </w:rPr>
        <w:t>C</w:t>
      </w:r>
      <w:r>
        <w:rPr>
          <w:color w:val="000000"/>
        </w:rPr>
        <w:t xml:space="preserve">ourt has </w:t>
      </w:r>
      <w:r>
        <w:rPr>
          <w:i/>
          <w:iCs/>
          <w:color w:val="000000"/>
        </w:rPr>
        <w:t>in rem</w:t>
      </w:r>
      <w:r>
        <w:rPr>
          <w:color w:val="000000"/>
        </w:rPr>
        <w:t xml:space="preserve"> jurisdiction over the </w:t>
      </w:r>
      <w:r>
        <w:rPr>
          <w:i/>
          <w:iCs/>
          <w:color w:val="000000"/>
        </w:rPr>
        <w:t>res</w:t>
      </w:r>
      <w:r>
        <w:rPr>
          <w:color w:val="000000"/>
        </w:rPr>
        <w:t xml:space="preserve"> of the debtor</w:t>
      </w:r>
      <w:r w:rsidR="008B54D4">
        <w:rPr>
          <w:color w:val="000000"/>
        </w:rPr>
        <w:t>’</w:t>
      </w:r>
      <w:r>
        <w:rPr>
          <w:color w:val="000000"/>
        </w:rPr>
        <w:t>s estate</w:t>
      </w:r>
      <w:r w:rsidR="008B54D4">
        <w:rPr>
          <w:color w:val="000000"/>
        </w:rPr>
        <w:t>,</w:t>
      </w:r>
      <w:r>
        <w:rPr>
          <w:color w:val="000000"/>
        </w:rPr>
        <w:t xml:space="preserve"> none of that should be surprising</w:t>
      </w:r>
      <w:r w:rsidR="006A227C">
        <w:rPr>
          <w:color w:val="000000"/>
        </w:rPr>
        <w:t xml:space="preserve">.  </w:t>
      </w:r>
      <w:r>
        <w:rPr>
          <w:color w:val="000000"/>
        </w:rPr>
        <w:t>It is equally unsurprising that none of the types of relief listed in Section 1123(a)(5) involves disposing of property belonging to someone other than the debtor or a creditor of the debtor</w:t>
      </w:r>
      <w:r w:rsidR="006A227C">
        <w:rPr>
          <w:color w:val="000000"/>
        </w:rPr>
        <w:t xml:space="preserve">.  </w:t>
      </w:r>
      <w:r>
        <w:rPr>
          <w:color w:val="000000"/>
        </w:rPr>
        <w:t>That is because it is the debtor</w:t>
      </w:r>
      <w:r w:rsidR="008B54D4">
        <w:rPr>
          <w:color w:val="000000"/>
        </w:rPr>
        <w:t>’</w:t>
      </w:r>
      <w:r>
        <w:rPr>
          <w:color w:val="000000"/>
        </w:rPr>
        <w:t>s resources - not the resources of some third party - that are supposed to be used to implement a plan that will adjust the debtor</w:t>
      </w:r>
      <w:r w:rsidR="008B54D4">
        <w:rPr>
          <w:color w:val="000000"/>
        </w:rPr>
        <w:t>’</w:t>
      </w:r>
      <w:r>
        <w:rPr>
          <w:color w:val="000000"/>
        </w:rPr>
        <w:t>s relations with its creditors.</w:t>
      </w:r>
    </w:p>
    <w:p w14:paraId="4DFCD779" w14:textId="26F96839" w:rsidR="00A77BBD" w:rsidRDefault="00A77BBD" w:rsidP="00A77BBD">
      <w:pPr>
        <w:pStyle w:val="BodyTextFirstIndent"/>
      </w:pPr>
      <w:r>
        <w:rPr>
          <w:color w:val="000000"/>
        </w:rPr>
        <w:t>Of course</w:t>
      </w:r>
      <w:r w:rsidR="008B54D4">
        <w:rPr>
          <w:color w:val="000000"/>
        </w:rPr>
        <w:t>,</w:t>
      </w:r>
      <w:r>
        <w:rPr>
          <w:color w:val="000000"/>
        </w:rPr>
        <w:t xml:space="preserve"> this is not the first case in which the resources of non-debtors are being used to implement a plan; and </w:t>
      </w:r>
      <w:r w:rsidR="00DC3AE7">
        <w:rPr>
          <w:color w:val="000000"/>
        </w:rPr>
        <w:t xml:space="preserve">Bankruptcy Code </w:t>
      </w:r>
      <w:r w:rsidR="00216346">
        <w:rPr>
          <w:color w:val="000000"/>
        </w:rPr>
        <w:t>§</w:t>
      </w:r>
      <w:r>
        <w:rPr>
          <w:color w:val="000000"/>
        </w:rPr>
        <w:t>1123(a)(5) does not pretend to contain an exhaustive list of all ways that a plan can provide means for its implementation</w:t>
      </w:r>
      <w:r w:rsidR="006A227C">
        <w:rPr>
          <w:color w:val="000000"/>
        </w:rPr>
        <w:t xml:space="preserve">.  </w:t>
      </w:r>
      <w:r w:rsidR="00DC3AE7">
        <w:rPr>
          <w:color w:val="000000"/>
        </w:rPr>
        <w:t>1123(a)(5)</w:t>
      </w:r>
      <w:r>
        <w:rPr>
          <w:color w:val="000000"/>
        </w:rPr>
        <w:t xml:space="preserve"> begins</w:t>
      </w:r>
      <w:r w:rsidR="008B54D4">
        <w:rPr>
          <w:color w:val="000000"/>
        </w:rPr>
        <w:t>,</w:t>
      </w:r>
      <w:r>
        <w:rPr>
          <w:color w:val="000000"/>
        </w:rPr>
        <w:t xml:space="preserve"> after all</w:t>
      </w:r>
      <w:r w:rsidR="008B54D4">
        <w:rPr>
          <w:color w:val="000000"/>
        </w:rPr>
        <w:t>,</w:t>
      </w:r>
      <w:r>
        <w:rPr>
          <w:color w:val="000000"/>
        </w:rPr>
        <w:t xml:space="preserve"> with the words “such as</w:t>
      </w:r>
      <w:r w:rsidR="00FA79C1">
        <w:rPr>
          <w:color w:val="000000"/>
        </w:rPr>
        <w:t xml:space="preserve">.”  </w:t>
      </w:r>
      <w:r>
        <w:rPr>
          <w:color w:val="000000"/>
        </w:rPr>
        <w:t>In this case</w:t>
      </w:r>
      <w:r w:rsidR="008B54D4">
        <w:rPr>
          <w:color w:val="000000"/>
        </w:rPr>
        <w:t>,</w:t>
      </w:r>
      <w:r>
        <w:rPr>
          <w:color w:val="000000"/>
        </w:rPr>
        <w:t xml:space="preserve"> Debtors argue that the only way to get the resources necessary to implement a viable plan was to agree to the </w:t>
      </w:r>
      <w:r w:rsidR="00E82FD6">
        <w:rPr>
          <w:color w:val="000000"/>
        </w:rPr>
        <w:t>Packler</w:t>
      </w:r>
      <w:r>
        <w:rPr>
          <w:color w:val="000000"/>
        </w:rPr>
        <w:t>s</w:t>
      </w:r>
      <w:r w:rsidR="008B54D4">
        <w:rPr>
          <w:color w:val="000000"/>
        </w:rPr>
        <w:t>’</w:t>
      </w:r>
      <w:r>
        <w:rPr>
          <w:color w:val="000000"/>
        </w:rPr>
        <w:t xml:space="preserve"> demand for broad releases in exchange for their contribution of money to the bankruptcy estate</w:t>
      </w:r>
      <w:r w:rsidR="006A227C">
        <w:rPr>
          <w:color w:val="000000"/>
        </w:rPr>
        <w:t xml:space="preserve">.  </w:t>
      </w:r>
      <w:r>
        <w:rPr>
          <w:color w:val="000000"/>
        </w:rPr>
        <w:t>They insist that the Section 10.7 Shareholder Release and corresponding injunctions carry out the requirements of Section 1123(a)(5) by ensuring that the Plan has the funding it needs - and if that funding was obtained from some third-party funder on condition of a release and an injunction</w:t>
      </w:r>
      <w:r w:rsidR="008B54D4">
        <w:rPr>
          <w:color w:val="000000"/>
        </w:rPr>
        <w:t>,</w:t>
      </w:r>
      <w:r>
        <w:rPr>
          <w:color w:val="000000"/>
        </w:rPr>
        <w:t xml:space="preserve"> then those forms of relief are authorized because the money is needed to fund the Plan.</w:t>
      </w:r>
    </w:p>
    <w:p w14:paraId="77E31D76" w14:textId="7184931C" w:rsidR="00A77BBD" w:rsidRDefault="00A77BBD" w:rsidP="00A77BBD">
      <w:pPr>
        <w:pStyle w:val="BodyTextFirstIndent"/>
      </w:pPr>
      <w:r>
        <w:rPr>
          <w:color w:val="000000"/>
        </w:rPr>
        <w:t xml:space="preserve">But the fact that </w:t>
      </w:r>
      <w:r w:rsidR="006239B5">
        <w:rPr>
          <w:color w:val="000000"/>
        </w:rPr>
        <w:t>Oxy</w:t>
      </w:r>
      <w:r>
        <w:rPr>
          <w:color w:val="000000"/>
        </w:rPr>
        <w:t xml:space="preserve"> needs the </w:t>
      </w:r>
      <w:r w:rsidR="00E82FD6">
        <w:rPr>
          <w:color w:val="000000"/>
        </w:rPr>
        <w:t>Packler</w:t>
      </w:r>
      <w:r>
        <w:rPr>
          <w:color w:val="000000"/>
        </w:rPr>
        <w:t xml:space="preserve">s to give the </w:t>
      </w:r>
      <w:r w:rsidR="00DC3AE7">
        <w:rPr>
          <w:color w:val="000000"/>
        </w:rPr>
        <w:t xml:space="preserve">dividends and transfers </w:t>
      </w:r>
      <w:r>
        <w:rPr>
          <w:color w:val="000000"/>
        </w:rPr>
        <w:t xml:space="preserve">back does not mean that </w:t>
      </w:r>
      <w:r w:rsidR="00216346">
        <w:rPr>
          <w:color w:val="000000"/>
        </w:rPr>
        <w:t>Bankruptcy Code §</w:t>
      </w:r>
      <w:r>
        <w:rPr>
          <w:color w:val="000000"/>
        </w:rPr>
        <w:t xml:space="preserve">1123(a)(5) confers on the Debtors or the </w:t>
      </w:r>
      <w:r w:rsidR="00E82FD6">
        <w:rPr>
          <w:color w:val="000000"/>
        </w:rPr>
        <w:t>Packler</w:t>
      </w:r>
      <w:r>
        <w:rPr>
          <w:color w:val="000000"/>
        </w:rPr>
        <w:t xml:space="preserve">s any right to have the non-debtors receive a release from non-derivative third-party claims in exchange for a contribution to </w:t>
      </w:r>
      <w:r w:rsidR="006239B5">
        <w:rPr>
          <w:color w:val="000000"/>
        </w:rPr>
        <w:t>Oxy</w:t>
      </w:r>
      <w:r w:rsidR="008B54D4">
        <w:rPr>
          <w:color w:val="000000"/>
        </w:rPr>
        <w:t>’</w:t>
      </w:r>
      <w:r>
        <w:rPr>
          <w:color w:val="000000"/>
        </w:rPr>
        <w:t>s estate.</w:t>
      </w:r>
    </w:p>
    <w:p w14:paraId="5EEE3645" w14:textId="060C8213" w:rsidR="00A77BBD" w:rsidRDefault="00A77BBD" w:rsidP="00A77BBD">
      <w:pPr>
        <w:pStyle w:val="BodyTextFirstIndent"/>
      </w:pPr>
      <w:r>
        <w:rPr>
          <w:color w:val="000000"/>
        </w:rPr>
        <w:t xml:space="preserve">The </w:t>
      </w:r>
      <w:r w:rsidR="00DC3AE7">
        <w:rPr>
          <w:color w:val="000000"/>
        </w:rPr>
        <w:t>Appellant</w:t>
      </w:r>
      <w:r w:rsidR="00216346">
        <w:rPr>
          <w:color w:val="000000"/>
        </w:rPr>
        <w:t>’</w:t>
      </w:r>
      <w:r w:rsidR="00DC3AE7">
        <w:rPr>
          <w:color w:val="000000"/>
        </w:rPr>
        <w:t>s</w:t>
      </w:r>
      <w:r>
        <w:rPr>
          <w:color w:val="000000"/>
        </w:rPr>
        <w:t xml:space="preserve"> suggestion that Section</w:t>
      </w:r>
      <w:r w:rsidR="00216346">
        <w:rPr>
          <w:color w:val="000000"/>
        </w:rPr>
        <w:t xml:space="preserve"> 1123(a)(5)</w:t>
      </w:r>
      <w:r>
        <w:rPr>
          <w:color w:val="000000"/>
        </w:rPr>
        <w:t xml:space="preserve"> confers some substantive right is exactly the sort of circular reasoning that was rejected by Judge Jacobs where Section 105(a) </w:t>
      </w:r>
      <w:r w:rsidR="00216346">
        <w:rPr>
          <w:color w:val="000000"/>
        </w:rPr>
        <w:t xml:space="preserve">of the Bankruptcy Code </w:t>
      </w:r>
      <w:r>
        <w:rPr>
          <w:color w:val="000000"/>
        </w:rPr>
        <w:t>was concerned</w:t>
      </w:r>
      <w:r w:rsidR="006A227C">
        <w:rPr>
          <w:color w:val="000000"/>
        </w:rPr>
        <w:t xml:space="preserve">.  </w:t>
      </w:r>
      <w:r>
        <w:rPr>
          <w:i/>
          <w:iCs/>
          <w:color w:val="000000"/>
        </w:rPr>
        <w:t>See In re Dairy Mart</w:t>
      </w:r>
      <w:r w:rsidR="008B54D4">
        <w:rPr>
          <w:i/>
          <w:iCs/>
          <w:color w:val="000000"/>
        </w:rPr>
        <w:t>,</w:t>
      </w:r>
      <w:r>
        <w:rPr>
          <w:color w:val="000000"/>
        </w:rPr>
        <w:t xml:space="preserve"> </w:t>
      </w:r>
      <w:hyperlink r:id="rId222" w:history="1">
        <w:r>
          <w:rPr>
            <w:color w:val="000000"/>
          </w:rPr>
          <w:t xml:space="preserve">351 F.3d at 92 </w:t>
        </w:r>
      </w:hyperlink>
      <w:r>
        <w:rPr>
          <w:color w:val="000000"/>
        </w:rPr>
        <w:t xml:space="preserve">(any such power conferred by Section 105(a) must “be tied to another Bankruptcy Code section and not merely to a general bankruptcy concept or objective”) (quoting 2 </w:t>
      </w:r>
      <w:r>
        <w:rPr>
          <w:i/>
          <w:iCs/>
          <w:color w:val="000000"/>
        </w:rPr>
        <w:t>Collier on Bankruptcy</w:t>
      </w:r>
      <w:r>
        <w:rPr>
          <w:color w:val="000000"/>
        </w:rPr>
        <w:t xml:space="preserve"> 105.01[1])</w:t>
      </w:r>
      <w:r w:rsidR="006A227C">
        <w:rPr>
          <w:color w:val="000000"/>
        </w:rPr>
        <w:t xml:space="preserve">.  </w:t>
      </w:r>
      <w:r>
        <w:rPr>
          <w:color w:val="000000"/>
        </w:rPr>
        <w:t>Getting to a confirmable plan is the general bankruptcy objective</w:t>
      </w:r>
      <w:r w:rsidR="008B54D4">
        <w:rPr>
          <w:color w:val="000000"/>
        </w:rPr>
        <w:t>,</w:t>
      </w:r>
      <w:r>
        <w:rPr>
          <w:color w:val="000000"/>
        </w:rPr>
        <w:t xml:space="preserve"> nothing more.</w:t>
      </w:r>
    </w:p>
    <w:p w14:paraId="73A4DF63" w14:textId="72F8C437" w:rsidR="00A77BBD" w:rsidRDefault="00A77BBD" w:rsidP="00A77BBD">
      <w:pPr>
        <w:pStyle w:val="BodyTextFirstIndent"/>
      </w:pPr>
      <w:r>
        <w:rPr>
          <w:color w:val="000000"/>
        </w:rPr>
        <w:t>Nor does Section 1123(a)(5) confer any special power on the Bankruptcy Court</w:t>
      </w:r>
      <w:r w:rsidR="006A227C">
        <w:rPr>
          <w:color w:val="000000"/>
        </w:rPr>
        <w:t xml:space="preserve">.  </w:t>
      </w:r>
      <w:r>
        <w:rPr>
          <w:color w:val="000000"/>
        </w:rPr>
        <w:t>A court does not propose the plan</w:t>
      </w:r>
      <w:r w:rsidR="00DC3AE7">
        <w:rPr>
          <w:color w:val="000000"/>
        </w:rPr>
        <w:t>.</w:t>
      </w:r>
      <w:r>
        <w:rPr>
          <w:color w:val="000000"/>
        </w:rPr>
        <w:t xml:space="preserve"> </w:t>
      </w:r>
      <w:r w:rsidR="00DC3AE7">
        <w:rPr>
          <w:color w:val="000000"/>
        </w:rPr>
        <w:t>T</w:t>
      </w:r>
      <w:r>
        <w:rPr>
          <w:color w:val="000000"/>
        </w:rPr>
        <w:t>he debtor and its creditors put the plan together and present it to the court</w:t>
      </w:r>
      <w:r w:rsidR="008B54D4">
        <w:rPr>
          <w:color w:val="000000"/>
        </w:rPr>
        <w:t>,</w:t>
      </w:r>
      <w:r>
        <w:rPr>
          <w:color w:val="000000"/>
        </w:rPr>
        <w:t xml:space="preserve"> which cannot approve the plan unless it contains the required provisions and need not approve it even then</w:t>
      </w:r>
      <w:r w:rsidR="006A227C">
        <w:rPr>
          <w:color w:val="000000"/>
        </w:rPr>
        <w:t xml:space="preserve">.  </w:t>
      </w:r>
      <w:r>
        <w:rPr>
          <w:color w:val="000000"/>
        </w:rPr>
        <w:t>To the extent that any court order is contemplated by Section 1123(a)</w:t>
      </w:r>
      <w:r w:rsidR="008B54D4">
        <w:rPr>
          <w:color w:val="000000"/>
        </w:rPr>
        <w:t>,</w:t>
      </w:r>
      <w:r>
        <w:rPr>
          <w:color w:val="000000"/>
        </w:rPr>
        <w:t xml:space="preserve"> it is the Confirmation Order - not an injunction and release of claims against non-debtors in order to obtaining funding for a plan</w:t>
      </w:r>
      <w:r w:rsidR="008B54D4">
        <w:rPr>
          <w:color w:val="000000"/>
        </w:rPr>
        <w:t>,</w:t>
      </w:r>
      <w:r>
        <w:rPr>
          <w:color w:val="000000"/>
        </w:rPr>
        <w:t xml:space="preserve"> which is essentially what Debtors are proposing.</w:t>
      </w:r>
    </w:p>
    <w:p w14:paraId="171ACF81" w14:textId="3A0A3541" w:rsidR="00A77BBD" w:rsidRDefault="00A77BBD" w:rsidP="00A77BBD">
      <w:pPr>
        <w:pStyle w:val="BodyTextFirstIndent"/>
      </w:pPr>
      <w:r>
        <w:rPr>
          <w:color w:val="000000"/>
        </w:rPr>
        <w:t>Finally</w:t>
      </w:r>
      <w:r w:rsidR="008B54D4">
        <w:rPr>
          <w:color w:val="000000"/>
        </w:rPr>
        <w:t>,</w:t>
      </w:r>
      <w:r>
        <w:rPr>
          <w:color w:val="000000"/>
        </w:rPr>
        <w:t xml:space="preserve"> and most important</w:t>
      </w:r>
      <w:r w:rsidR="008B54D4">
        <w:rPr>
          <w:color w:val="000000"/>
        </w:rPr>
        <w:t>,</w:t>
      </w:r>
      <w:r>
        <w:rPr>
          <w:color w:val="000000"/>
        </w:rPr>
        <w:t xml:space="preserve"> </w:t>
      </w:r>
      <w:r w:rsidR="00DC3AE7">
        <w:rPr>
          <w:color w:val="000000"/>
        </w:rPr>
        <w:t xml:space="preserve">Bankruptcy Code </w:t>
      </w:r>
      <w:r w:rsidR="00216346">
        <w:rPr>
          <w:color w:val="000000"/>
        </w:rPr>
        <w:t>§</w:t>
      </w:r>
      <w:r>
        <w:rPr>
          <w:color w:val="000000"/>
        </w:rPr>
        <w:t>1123(a)(5) does not authorize a court to give its imprimatur to something the Bankruptcy Code does not otherwise authorize</w:t>
      </w:r>
      <w:r w:rsidR="008B54D4">
        <w:rPr>
          <w:color w:val="000000"/>
        </w:rPr>
        <w:t>,</w:t>
      </w:r>
      <w:r>
        <w:rPr>
          <w:color w:val="000000"/>
        </w:rPr>
        <w:t xml:space="preserve"> simply because doing so would ensure funding for a plan</w:t>
      </w:r>
      <w:r w:rsidR="006A227C">
        <w:rPr>
          <w:color w:val="000000"/>
        </w:rPr>
        <w:t xml:space="preserve">.  </w:t>
      </w:r>
      <w:r>
        <w:rPr>
          <w:color w:val="000000"/>
        </w:rPr>
        <w:t>Nothing in Section 1123(a)(5) suggests that a debtor has the right to secure sufficient funds for implementation by any means necessary</w:t>
      </w:r>
      <w:r w:rsidR="006A227C">
        <w:rPr>
          <w:color w:val="000000"/>
        </w:rPr>
        <w:t xml:space="preserve">.  </w:t>
      </w:r>
      <w:r>
        <w:rPr>
          <w:color w:val="000000"/>
        </w:rPr>
        <w:t>Section 1123(a)(5) would not</w:t>
      </w:r>
      <w:r w:rsidR="008B54D4">
        <w:rPr>
          <w:color w:val="000000"/>
        </w:rPr>
        <w:t>,</w:t>
      </w:r>
      <w:r>
        <w:rPr>
          <w:color w:val="000000"/>
        </w:rPr>
        <w:t xml:space="preserve"> for example</w:t>
      </w:r>
      <w:r w:rsidR="008B54D4">
        <w:rPr>
          <w:color w:val="000000"/>
        </w:rPr>
        <w:t>,</w:t>
      </w:r>
      <w:r>
        <w:rPr>
          <w:color w:val="000000"/>
        </w:rPr>
        <w:t xml:space="preserve"> authorize a court to enter an order enjoining a bank from suing a non</w:t>
      </w:r>
      <w:r w:rsidR="003E7DC0">
        <w:rPr>
          <w:color w:val="000000"/>
        </w:rPr>
        <w:t>-</w:t>
      </w:r>
      <w:r>
        <w:rPr>
          <w:color w:val="000000"/>
        </w:rPr>
        <w:t>debtor employee who embezzled funds and then offered them to her bankrupt brother</w:t>
      </w:r>
      <w:r w:rsidR="008B54D4">
        <w:rPr>
          <w:color w:val="000000"/>
        </w:rPr>
        <w:t>’</w:t>
      </w:r>
      <w:r>
        <w:rPr>
          <w:color w:val="000000"/>
        </w:rPr>
        <w:t>s estate in exchange for a release of all claims a third party could assert against her</w:t>
      </w:r>
      <w:r w:rsidR="006A227C">
        <w:rPr>
          <w:color w:val="000000"/>
        </w:rPr>
        <w:t xml:space="preserve">.  </w:t>
      </w:r>
      <w:r>
        <w:rPr>
          <w:color w:val="000000"/>
        </w:rPr>
        <w:t>That example is silly</w:t>
      </w:r>
      <w:r w:rsidR="008B54D4">
        <w:rPr>
          <w:color w:val="000000"/>
        </w:rPr>
        <w:t>,</w:t>
      </w:r>
      <w:r>
        <w:rPr>
          <w:color w:val="000000"/>
        </w:rPr>
        <w:t xml:space="preserve"> of course</w:t>
      </w:r>
      <w:r w:rsidR="008B54D4">
        <w:rPr>
          <w:color w:val="000000"/>
        </w:rPr>
        <w:t>,</w:t>
      </w:r>
      <w:r>
        <w:rPr>
          <w:color w:val="000000"/>
        </w:rPr>
        <w:t xml:space="preserve"> but the point is simple:  the mere fact that the money is being used to fund implementation of the plan does give a bankruptcy court statutory authority to enter an otherwise impermissible order in order to obtain that funding</w:t>
      </w:r>
      <w:r w:rsidR="006A227C">
        <w:rPr>
          <w:color w:val="000000"/>
        </w:rPr>
        <w:t xml:space="preserve">.  </w:t>
      </w:r>
      <w:r>
        <w:rPr>
          <w:color w:val="000000"/>
        </w:rPr>
        <w:t>As was the case with Section 1123(b)(6)</w:t>
      </w:r>
      <w:r w:rsidR="008B54D4">
        <w:rPr>
          <w:color w:val="000000"/>
        </w:rPr>
        <w:t>,</w:t>
      </w:r>
      <w:r>
        <w:rPr>
          <w:color w:val="000000"/>
        </w:rPr>
        <w:t xml:space="preserve"> Judge </w:t>
      </w:r>
      <w:r w:rsidR="00E82FD6">
        <w:rPr>
          <w:color w:val="000000"/>
        </w:rPr>
        <w:t>Wains</w:t>
      </w:r>
      <w:r w:rsidR="008B54D4">
        <w:rPr>
          <w:color w:val="000000"/>
        </w:rPr>
        <w:t>’</w:t>
      </w:r>
      <w:r>
        <w:rPr>
          <w:color w:val="000000"/>
        </w:rPr>
        <w:t xml:space="preserve">s reliance on Section 1123(a)(5) begs the ultimate question that must be answered:  whether the court has some </w:t>
      </w:r>
      <w:r>
        <w:rPr>
          <w:i/>
          <w:iCs/>
          <w:color w:val="000000"/>
        </w:rPr>
        <w:t>independent</w:t>
      </w:r>
      <w:r>
        <w:rPr>
          <w:color w:val="000000"/>
        </w:rPr>
        <w:t xml:space="preserve"> statutory authority to issue the non-debtor releases and enjoin third party claims against the </w:t>
      </w:r>
      <w:r w:rsidR="00E82FD6">
        <w:rPr>
          <w:color w:val="000000"/>
        </w:rPr>
        <w:t>Packler</w:t>
      </w:r>
      <w:r>
        <w:rPr>
          <w:color w:val="000000"/>
        </w:rPr>
        <w:t>s</w:t>
      </w:r>
      <w:r w:rsidR="008B54D4">
        <w:rPr>
          <w:color w:val="000000"/>
        </w:rPr>
        <w:t>,</w:t>
      </w:r>
      <w:r>
        <w:rPr>
          <w:color w:val="000000"/>
        </w:rPr>
        <w:t xml:space="preserve"> such that the Bankruptcy Court can enter a “necessary and appropriate” order to obtain the funding.</w:t>
      </w:r>
    </w:p>
    <w:p w14:paraId="7A97491F" w14:textId="09EB81AE" w:rsidR="00A77BBD" w:rsidRDefault="00A77BBD" w:rsidP="00A77BBD">
      <w:pPr>
        <w:pStyle w:val="BodyTextFirstIndent"/>
      </w:pPr>
      <w:r>
        <w:rPr>
          <w:b/>
          <w:bCs/>
          <w:color w:val="000000"/>
          <w:u w:val="single"/>
        </w:rPr>
        <w:t>Section 1129(a)(1)</w:t>
      </w:r>
      <w:r w:rsidRPr="003E7DC0">
        <w:rPr>
          <w:color w:val="000000"/>
        </w:rPr>
        <w:t xml:space="preserve">:  </w:t>
      </w:r>
      <w:r>
        <w:rPr>
          <w:color w:val="000000"/>
        </w:rPr>
        <w:t>Finally</w:t>
      </w:r>
      <w:r w:rsidR="008B54D4">
        <w:rPr>
          <w:color w:val="000000"/>
        </w:rPr>
        <w:t>,</w:t>
      </w:r>
      <w:r>
        <w:rPr>
          <w:color w:val="000000"/>
        </w:rPr>
        <w:t xml:space="preserve"> Section 1129(a)(1) does not provide the substantive authority for a Section 105(a) injunction or approval of a release</w:t>
      </w:r>
      <w:r w:rsidR="006A227C">
        <w:rPr>
          <w:color w:val="000000"/>
        </w:rPr>
        <w:t xml:space="preserve">.  </w:t>
      </w:r>
      <w:r>
        <w:rPr>
          <w:color w:val="000000"/>
        </w:rPr>
        <w:t>Section 1129 is entitled “Confirmation of plan</w:t>
      </w:r>
      <w:r w:rsidR="008B54D4">
        <w:rPr>
          <w:color w:val="000000"/>
        </w:rPr>
        <w:t>,</w:t>
      </w:r>
      <w:r>
        <w:rPr>
          <w:color w:val="000000"/>
        </w:rPr>
        <w:t xml:space="preserve">” and Subsection 1129(a)(1) provides that a bankruptcy court “shall confirm a plan only if </w:t>
      </w:r>
      <w:r w:rsidR="00110F91">
        <w:rPr>
          <w:color w:val="000000"/>
        </w:rPr>
        <w:t xml:space="preserve">. . . </w:t>
      </w:r>
      <w:r>
        <w:rPr>
          <w:color w:val="000000"/>
        </w:rPr>
        <w:t>the plan complies with the applicable provisions of this title.”</w:t>
      </w:r>
      <w:r w:rsidR="003E7DC0">
        <w:rPr>
          <w:color w:val="000000"/>
        </w:rPr>
        <w:t xml:space="preserve"> </w:t>
      </w:r>
      <w:hyperlink r:id="rId223" w:history="1">
        <w:r>
          <w:rPr>
            <w:color w:val="000000"/>
          </w:rPr>
          <w:t xml:space="preserve"> 11 U.S.C.A</w:t>
        </w:r>
        <w:r w:rsidR="006A227C">
          <w:rPr>
            <w:color w:val="000000"/>
          </w:rPr>
          <w:t xml:space="preserve">. </w:t>
        </w:r>
        <w:r>
          <w:rPr>
            <w:color w:val="000000"/>
          </w:rPr>
          <w:t>§ 1129</w:t>
        </w:r>
      </w:hyperlink>
      <w:r w:rsidR="006A227C">
        <w:rPr>
          <w:color w:val="000000"/>
        </w:rPr>
        <w:t xml:space="preserve">.  </w:t>
      </w:r>
      <w:r>
        <w:rPr>
          <w:color w:val="000000"/>
        </w:rPr>
        <w:t>Like the cited sections of §1123</w:t>
      </w:r>
      <w:r w:rsidR="008B54D4">
        <w:rPr>
          <w:color w:val="000000"/>
        </w:rPr>
        <w:t>,</w:t>
      </w:r>
      <w:r>
        <w:rPr>
          <w:color w:val="000000"/>
        </w:rPr>
        <w:t xml:space="preserve"> §1129(a) confers no substantive right that could be used to undergird a § 105(a) injunction</w:t>
      </w:r>
      <w:r w:rsidR="006A227C">
        <w:rPr>
          <w:color w:val="000000"/>
        </w:rPr>
        <w:t xml:space="preserve">.  </w:t>
      </w:r>
      <w:r>
        <w:rPr>
          <w:color w:val="000000"/>
        </w:rPr>
        <w:t>One highly general provision simply does not confer substantive authority that is required to invoke another highly general provision.</w:t>
      </w:r>
    </w:p>
    <w:p w14:paraId="18DD327C" w14:textId="10D81F3C" w:rsidR="00A77BBD" w:rsidRDefault="00A77BBD" w:rsidP="00A77BBD">
      <w:pPr>
        <w:pStyle w:val="BodyTextFirstIndent"/>
      </w:pPr>
      <w:r>
        <w:rPr>
          <w:b/>
          <w:bCs/>
          <w:color w:val="000000"/>
          <w:u w:val="single"/>
        </w:rPr>
        <w:t>Lack of Any Statutory Prohibition</w:t>
      </w:r>
      <w:r w:rsidRPr="003E7DC0">
        <w:rPr>
          <w:color w:val="000000"/>
        </w:rPr>
        <w:t xml:space="preserve">:  </w:t>
      </w:r>
      <w:r>
        <w:rPr>
          <w:color w:val="000000"/>
        </w:rPr>
        <w:t xml:space="preserve">Having exhausted the statutory provisions on which Judge </w:t>
      </w:r>
      <w:r w:rsidR="00E82FD6">
        <w:rPr>
          <w:color w:val="000000"/>
        </w:rPr>
        <w:t>Wains</w:t>
      </w:r>
      <w:r>
        <w:rPr>
          <w:color w:val="000000"/>
        </w:rPr>
        <w:t xml:space="preserve"> relied and finding that none of them confers any substantive right as required by </w:t>
      </w:r>
      <w:r>
        <w:rPr>
          <w:i/>
          <w:iCs/>
          <w:color w:val="000000"/>
        </w:rPr>
        <w:t>Metromedia</w:t>
      </w:r>
      <w:r w:rsidR="008B54D4">
        <w:rPr>
          <w:i/>
          <w:iCs/>
          <w:color w:val="000000"/>
        </w:rPr>
        <w:t>,</w:t>
      </w:r>
      <w:r>
        <w:rPr>
          <w:color w:val="000000"/>
        </w:rPr>
        <w:t xml:space="preserve"> our exercise should be at an end</w:t>
      </w:r>
      <w:r w:rsidR="006A227C">
        <w:rPr>
          <w:color w:val="000000"/>
        </w:rPr>
        <w:t xml:space="preserve">.  </w:t>
      </w:r>
      <w:r>
        <w:rPr>
          <w:color w:val="000000"/>
        </w:rPr>
        <w:t>But it is not</w:t>
      </w:r>
      <w:r w:rsidR="006A227C">
        <w:rPr>
          <w:color w:val="000000"/>
        </w:rPr>
        <w:t xml:space="preserve">.  </w:t>
      </w:r>
      <w:r>
        <w:rPr>
          <w:color w:val="000000"/>
        </w:rPr>
        <w:t>The Debtors argue that the Bankruptcy Court must be statutorily authorized to approve these releases because no provision of the Bankruptcy Code - including but not limited to § 524(e) - expressly prohibits them.</w:t>
      </w:r>
    </w:p>
    <w:p w14:paraId="78E67B36" w14:textId="1D3AF3D4" w:rsidR="00A77BBD" w:rsidRDefault="00A77BBD" w:rsidP="00A77BBD">
      <w:pPr>
        <w:pStyle w:val="BodyTextFirstIndent"/>
      </w:pPr>
      <w:r>
        <w:rPr>
          <w:color w:val="000000"/>
        </w:rPr>
        <w:t>The notion that statutory authority can be inferred from Congressional silence is counterintuitive when</w:t>
      </w:r>
      <w:r w:rsidR="008B54D4">
        <w:rPr>
          <w:color w:val="000000"/>
        </w:rPr>
        <w:t>,</w:t>
      </w:r>
      <w:r>
        <w:rPr>
          <w:color w:val="000000"/>
        </w:rPr>
        <w:t xml:space="preserve"> as with the Bankruptcy Code</w:t>
      </w:r>
      <w:r w:rsidR="008B54D4">
        <w:rPr>
          <w:color w:val="000000"/>
        </w:rPr>
        <w:t>,</w:t>
      </w:r>
      <w:r>
        <w:rPr>
          <w:color w:val="000000"/>
        </w:rPr>
        <w:t xml:space="preserve"> Congress put together a “comprehensive scheme” designed to target “specific problems with specific solutions</w:t>
      </w:r>
      <w:r w:rsidR="00FA79C1">
        <w:rPr>
          <w:i/>
          <w:iCs/>
          <w:color w:val="000000"/>
        </w:rPr>
        <w:t>.</w:t>
      </w:r>
      <w:r w:rsidR="00FA79C1" w:rsidRPr="003E7DC0">
        <w:rPr>
          <w:color w:val="000000"/>
        </w:rPr>
        <w:t xml:space="preserve">” </w:t>
      </w:r>
      <w:r w:rsidR="00FA79C1">
        <w:rPr>
          <w:i/>
          <w:iCs/>
          <w:color w:val="000000"/>
        </w:rPr>
        <w:t xml:space="preserve"> </w:t>
      </w:r>
      <w:r>
        <w:rPr>
          <w:i/>
          <w:iCs/>
          <w:color w:val="000000"/>
        </w:rPr>
        <w:t>RadLAX Gateway Hotel</w:t>
      </w:r>
      <w:r w:rsidR="008B54D4" w:rsidRPr="003E7DC0">
        <w:rPr>
          <w:color w:val="000000"/>
        </w:rPr>
        <w:t>,</w:t>
      </w:r>
      <w:r>
        <w:rPr>
          <w:i/>
          <w:iCs/>
          <w:color w:val="000000"/>
        </w:rPr>
        <w:t xml:space="preserve"> </w:t>
      </w:r>
      <w:hyperlink r:id="rId224" w:history="1">
        <w:r>
          <w:rPr>
            <w:color w:val="000000"/>
          </w:rPr>
          <w:t xml:space="preserve">566 </w:t>
        </w:r>
        <w:r w:rsidR="002F10FB">
          <w:rPr>
            <w:color w:val="000000"/>
          </w:rPr>
          <w:t xml:space="preserve">U.S. </w:t>
        </w:r>
        <w:r>
          <w:rPr>
            <w:color w:val="000000"/>
          </w:rPr>
          <w:t>at 645</w:t>
        </w:r>
      </w:hyperlink>
      <w:r w:rsidR="006A227C">
        <w:rPr>
          <w:color w:val="000000"/>
        </w:rPr>
        <w:t xml:space="preserve">.  </w:t>
      </w:r>
      <w:r>
        <w:rPr>
          <w:color w:val="000000"/>
        </w:rPr>
        <w:t>In this particular case</w:t>
      </w:r>
      <w:r w:rsidR="008B54D4">
        <w:rPr>
          <w:color w:val="000000"/>
        </w:rPr>
        <w:t>,</w:t>
      </w:r>
      <w:r>
        <w:rPr>
          <w:color w:val="000000"/>
        </w:rPr>
        <w:t xml:space="preserve"> a number of red flags suggest that Congressional silence (if indeed Congress was silent) was not intended to mean consent.</w:t>
      </w:r>
    </w:p>
    <w:p w14:paraId="6D33618D" w14:textId="0B9ABEF2" w:rsidR="00A77BBD" w:rsidRDefault="00A77BBD" w:rsidP="00A77BBD">
      <w:pPr>
        <w:pStyle w:val="BodyTextFirstIndent"/>
      </w:pPr>
      <w:r>
        <w:rPr>
          <w:color w:val="000000"/>
        </w:rPr>
        <w:t>The first is that silence is inconsistent with comprehensiveness</w:t>
      </w:r>
      <w:r w:rsidR="008B54D4">
        <w:rPr>
          <w:color w:val="000000"/>
        </w:rPr>
        <w:t>,</w:t>
      </w:r>
      <w:r>
        <w:rPr>
          <w:color w:val="000000"/>
        </w:rPr>
        <w:t xml:space="preserve"> and the Bankruptcy Code “provides a </w:t>
      </w:r>
      <w:r>
        <w:rPr>
          <w:i/>
          <w:iCs/>
          <w:color w:val="000000"/>
        </w:rPr>
        <w:t>comprehensive</w:t>
      </w:r>
      <w:r>
        <w:rPr>
          <w:color w:val="000000"/>
        </w:rPr>
        <w:t xml:space="preserve"> federal system </w:t>
      </w:r>
      <w:r w:rsidR="00110F91">
        <w:rPr>
          <w:color w:val="000000"/>
        </w:rPr>
        <w:t xml:space="preserve">. . . </w:t>
      </w:r>
      <w:r>
        <w:rPr>
          <w:color w:val="000000"/>
        </w:rPr>
        <w:t>to govern the orderly conduct of debtors</w:t>
      </w:r>
      <w:r w:rsidR="008B54D4">
        <w:rPr>
          <w:color w:val="000000"/>
        </w:rPr>
        <w:t>’</w:t>
      </w:r>
      <w:r>
        <w:rPr>
          <w:color w:val="000000"/>
        </w:rPr>
        <w:t xml:space="preserve"> affairs and creditors</w:t>
      </w:r>
      <w:r w:rsidR="008B54D4">
        <w:rPr>
          <w:color w:val="000000"/>
        </w:rPr>
        <w:t>’</w:t>
      </w:r>
      <w:r>
        <w:rPr>
          <w:color w:val="000000"/>
        </w:rPr>
        <w:t xml:space="preserve"> rights</w:t>
      </w:r>
      <w:r w:rsidR="00FA79C1">
        <w:rPr>
          <w:i/>
          <w:iCs/>
          <w:color w:val="000000"/>
        </w:rPr>
        <w:t>.</w:t>
      </w:r>
      <w:r w:rsidR="00FA79C1" w:rsidRPr="003E7DC0">
        <w:rPr>
          <w:color w:val="000000"/>
        </w:rPr>
        <w:t>”</w:t>
      </w:r>
      <w:r w:rsidR="00FA79C1">
        <w:rPr>
          <w:i/>
          <w:iCs/>
          <w:color w:val="000000"/>
        </w:rPr>
        <w:t xml:space="preserve">  </w:t>
      </w:r>
      <w:r>
        <w:rPr>
          <w:i/>
          <w:iCs/>
          <w:color w:val="000000"/>
        </w:rPr>
        <w:t>E</w:t>
      </w:r>
      <w:r w:rsidR="006A227C">
        <w:rPr>
          <w:i/>
          <w:iCs/>
          <w:color w:val="000000"/>
        </w:rPr>
        <w:t xml:space="preserve">. </w:t>
      </w:r>
      <w:r>
        <w:rPr>
          <w:i/>
          <w:iCs/>
          <w:color w:val="000000"/>
        </w:rPr>
        <w:t>Equip</w:t>
      </w:r>
      <w:r w:rsidR="006A227C">
        <w:rPr>
          <w:i/>
          <w:iCs/>
          <w:color w:val="000000"/>
        </w:rPr>
        <w:t xml:space="preserve">. </w:t>
      </w:r>
      <w:r>
        <w:rPr>
          <w:i/>
          <w:iCs/>
          <w:color w:val="000000"/>
        </w:rPr>
        <w:t>&amp; Servs</w:t>
      </w:r>
      <w:r w:rsidR="006A227C">
        <w:rPr>
          <w:i/>
          <w:iCs/>
          <w:color w:val="000000"/>
        </w:rPr>
        <w:t xml:space="preserve">. </w:t>
      </w:r>
      <w:r w:rsidR="00AB5D25">
        <w:rPr>
          <w:i/>
          <w:iCs/>
          <w:color w:val="000000"/>
        </w:rPr>
        <w:t xml:space="preserve">Corp. </w:t>
      </w:r>
      <w:r w:rsidR="00E150C1">
        <w:rPr>
          <w:i/>
          <w:iCs/>
          <w:color w:val="000000"/>
        </w:rPr>
        <w:t xml:space="preserve">v. </w:t>
      </w:r>
      <w:r>
        <w:rPr>
          <w:i/>
          <w:iCs/>
          <w:color w:val="000000"/>
        </w:rPr>
        <w:t>Factory Point Nat</w:t>
      </w:r>
      <w:r w:rsidR="006A227C">
        <w:rPr>
          <w:i/>
          <w:iCs/>
          <w:color w:val="000000"/>
        </w:rPr>
        <w:t xml:space="preserve">. </w:t>
      </w:r>
      <w:r>
        <w:rPr>
          <w:i/>
          <w:iCs/>
          <w:color w:val="000000"/>
        </w:rPr>
        <w:t>Bank</w:t>
      </w:r>
      <w:r w:rsidR="008B54D4">
        <w:rPr>
          <w:i/>
          <w:iCs/>
          <w:color w:val="000000"/>
        </w:rPr>
        <w:t>,</w:t>
      </w:r>
      <w:r>
        <w:rPr>
          <w:i/>
          <w:iCs/>
          <w:color w:val="000000"/>
        </w:rPr>
        <w:t xml:space="preserve"> Bennington</w:t>
      </w:r>
      <w:r w:rsidR="008B54D4">
        <w:rPr>
          <w:color w:val="000000"/>
        </w:rPr>
        <w:t>,</w:t>
      </w:r>
      <w:r>
        <w:rPr>
          <w:color w:val="000000"/>
        </w:rPr>
        <w:t xml:space="preserve"> </w:t>
      </w:r>
      <w:hyperlink r:id="rId225" w:history="1">
        <w:r>
          <w:rPr>
            <w:color w:val="000000"/>
          </w:rPr>
          <w:t>236 F.3d 117</w:t>
        </w:r>
        <w:r w:rsidR="008B54D4">
          <w:rPr>
            <w:color w:val="000000"/>
          </w:rPr>
          <w:t>,</w:t>
        </w:r>
      </w:hyperlink>
      <w:r w:rsidR="003E7DC0">
        <w:rPr>
          <w:color w:val="000000"/>
        </w:rPr>
        <w:t xml:space="preserve"> </w:t>
      </w:r>
      <w:hyperlink r:id="rId226" w:history="1">
        <w:r>
          <w:rPr>
            <w:color w:val="000000"/>
          </w:rPr>
          <w:t xml:space="preserve">120 </w:t>
        </w:r>
      </w:hyperlink>
      <w:r>
        <w:rPr>
          <w:color w:val="000000"/>
        </w:rPr>
        <w:t xml:space="preserve">(2d </w:t>
      </w:r>
      <w:r w:rsidR="00E97455">
        <w:rPr>
          <w:color w:val="000000"/>
        </w:rPr>
        <w:t xml:space="preserve">Cir. </w:t>
      </w:r>
      <w:r>
        <w:rPr>
          <w:color w:val="000000"/>
        </w:rPr>
        <w:t>2001) (emphasis added)</w:t>
      </w:r>
      <w:r w:rsidR="006A227C">
        <w:rPr>
          <w:color w:val="000000"/>
        </w:rPr>
        <w:t xml:space="preserve">.  </w:t>
      </w:r>
      <w:r>
        <w:rPr>
          <w:color w:val="000000"/>
        </w:rPr>
        <w:t>“Comprehensive” means “complete</w:t>
      </w:r>
      <w:r w:rsidR="008B54D4">
        <w:rPr>
          <w:color w:val="000000"/>
        </w:rPr>
        <w:t>,</w:t>
      </w:r>
      <w:r>
        <w:rPr>
          <w:color w:val="000000"/>
        </w:rPr>
        <w:t xml:space="preserve"> including all elements</w:t>
      </w:r>
      <w:r w:rsidR="00FA79C1">
        <w:rPr>
          <w:color w:val="000000"/>
        </w:rPr>
        <w:t xml:space="preserve">.”  </w:t>
      </w:r>
      <w:r>
        <w:rPr>
          <w:color w:val="000000"/>
        </w:rPr>
        <w:t>Reading elements that do not appear in the text of the Code into the Code is the antithesis of comprehensiveness.</w:t>
      </w:r>
    </w:p>
    <w:p w14:paraId="38D7145B" w14:textId="285692A9" w:rsidR="00A77BBD" w:rsidRDefault="00A77BBD" w:rsidP="00A77BBD">
      <w:pPr>
        <w:pStyle w:val="BodyTextFirstIndent"/>
      </w:pPr>
      <w:r>
        <w:rPr>
          <w:color w:val="000000"/>
        </w:rPr>
        <w:t xml:space="preserve">Then-District Judge Sullivan recognized as much in </w:t>
      </w:r>
      <w:r>
        <w:rPr>
          <w:i/>
          <w:iCs/>
          <w:color w:val="000000"/>
        </w:rPr>
        <w:t>In re Lehman Bros</w:t>
      </w:r>
      <w:r w:rsidR="006A227C">
        <w:rPr>
          <w:i/>
          <w:iCs/>
          <w:color w:val="000000"/>
        </w:rPr>
        <w:t xml:space="preserve">. </w:t>
      </w:r>
      <w:r>
        <w:rPr>
          <w:i/>
          <w:iCs/>
          <w:color w:val="000000"/>
        </w:rPr>
        <w:t>Holdings Inc</w:t>
      </w:r>
      <w:r>
        <w:rPr>
          <w:color w:val="000000"/>
        </w:rPr>
        <w:t>.</w:t>
      </w:r>
      <w:r w:rsidR="008B54D4">
        <w:rPr>
          <w:color w:val="000000"/>
        </w:rPr>
        <w:t>,</w:t>
      </w:r>
      <w:hyperlink r:id="rId227" w:history="1">
        <w:r>
          <w:rPr>
            <w:color w:val="000000"/>
          </w:rPr>
          <w:t xml:space="preserve"> 508</w:t>
        </w:r>
      </w:hyperlink>
      <w:r w:rsidR="003E7DC0">
        <w:rPr>
          <w:color w:val="000000"/>
        </w:rPr>
        <w:t xml:space="preserve"> </w:t>
      </w:r>
      <w:hyperlink r:id="rId228" w:history="1">
        <w:r w:rsidR="00755A0D">
          <w:rPr>
            <w:color w:val="000000"/>
          </w:rPr>
          <w:t xml:space="preserve">B.R. </w:t>
        </w:r>
        <w:r>
          <w:rPr>
            <w:color w:val="000000"/>
          </w:rPr>
          <w:t>283</w:t>
        </w:r>
      </w:hyperlink>
      <w:r>
        <w:rPr>
          <w:color w:val="000000"/>
        </w:rPr>
        <w:t xml:space="preserve"> (S.D.N.Y</w:t>
      </w:r>
      <w:r w:rsidR="006A227C">
        <w:rPr>
          <w:color w:val="000000"/>
        </w:rPr>
        <w:t xml:space="preserve">. </w:t>
      </w:r>
      <w:r>
        <w:rPr>
          <w:color w:val="000000"/>
        </w:rPr>
        <w:t>2014)</w:t>
      </w:r>
      <w:r w:rsidR="006A227C">
        <w:rPr>
          <w:color w:val="000000"/>
        </w:rPr>
        <w:t xml:space="preserve">.  </w:t>
      </w:r>
      <w:r>
        <w:rPr>
          <w:color w:val="000000"/>
        </w:rPr>
        <w:t>There</w:t>
      </w:r>
      <w:r w:rsidR="008B54D4">
        <w:rPr>
          <w:color w:val="000000"/>
        </w:rPr>
        <w:t>,</w:t>
      </w:r>
      <w:r>
        <w:rPr>
          <w:color w:val="000000"/>
        </w:rPr>
        <w:t xml:space="preserve"> the </w:t>
      </w:r>
      <w:r w:rsidR="00216346">
        <w:rPr>
          <w:color w:val="000000"/>
        </w:rPr>
        <w:t>b</w:t>
      </w:r>
      <w:r>
        <w:rPr>
          <w:color w:val="000000"/>
        </w:rPr>
        <w:t xml:space="preserve">ankruptcy </w:t>
      </w:r>
      <w:r w:rsidR="00216346">
        <w:rPr>
          <w:color w:val="000000"/>
        </w:rPr>
        <w:t>c</w:t>
      </w:r>
      <w:r w:rsidR="00DC3AE7">
        <w:rPr>
          <w:color w:val="000000"/>
        </w:rPr>
        <w:t>o</w:t>
      </w:r>
      <w:r>
        <w:rPr>
          <w:color w:val="000000"/>
        </w:rPr>
        <w:t>urt granted a certain creditor</w:t>
      </w:r>
      <w:r w:rsidR="008B54D4">
        <w:rPr>
          <w:color w:val="000000"/>
        </w:rPr>
        <w:t>’</w:t>
      </w:r>
      <w:r>
        <w:rPr>
          <w:color w:val="000000"/>
        </w:rPr>
        <w:t xml:space="preserve">s application for reimbursement of post-petition counsel fees over the </w:t>
      </w:r>
      <w:r w:rsidR="002F10FB">
        <w:rPr>
          <w:color w:val="000000"/>
        </w:rPr>
        <w:t xml:space="preserve">U.S. </w:t>
      </w:r>
      <w:r>
        <w:rPr>
          <w:color w:val="000000"/>
        </w:rPr>
        <w:t>Trustee</w:t>
      </w:r>
      <w:r w:rsidR="008B54D4">
        <w:rPr>
          <w:color w:val="000000"/>
        </w:rPr>
        <w:t>’</w:t>
      </w:r>
      <w:r>
        <w:rPr>
          <w:color w:val="000000"/>
        </w:rPr>
        <w:t>s objection that the Bankruptcy Code only permitted reimbursement of post-petition administrative expenses</w:t>
      </w:r>
      <w:r w:rsidR="006A227C">
        <w:rPr>
          <w:color w:val="000000"/>
        </w:rPr>
        <w:t xml:space="preserve">.  </w:t>
      </w:r>
      <w:r>
        <w:rPr>
          <w:color w:val="000000"/>
        </w:rPr>
        <w:t>On appeal</w:t>
      </w:r>
      <w:r w:rsidR="008B54D4">
        <w:rPr>
          <w:color w:val="000000"/>
        </w:rPr>
        <w:t>,</w:t>
      </w:r>
      <w:r>
        <w:rPr>
          <w:color w:val="000000"/>
        </w:rPr>
        <w:t xml:space="preserve"> Judge Sullivan was not persuaded by appellees</w:t>
      </w:r>
      <w:r w:rsidR="008B54D4">
        <w:rPr>
          <w:color w:val="000000"/>
        </w:rPr>
        <w:t>’</w:t>
      </w:r>
      <w:r>
        <w:rPr>
          <w:color w:val="000000"/>
        </w:rPr>
        <w:t xml:space="preserve"> argument that reimbursement for professional fees was authorized by the Bankruptcy Code simply because nothing in the Bankruptcy Code expressly forbade it</w:t>
      </w:r>
      <w:r w:rsidR="006A227C">
        <w:rPr>
          <w:color w:val="000000"/>
        </w:rPr>
        <w:t xml:space="preserve">.  </w:t>
      </w:r>
      <w:r>
        <w:rPr>
          <w:color w:val="000000"/>
        </w:rPr>
        <w:t>He held that</w:t>
      </w:r>
      <w:r w:rsidR="008B54D4">
        <w:rPr>
          <w:color w:val="000000"/>
        </w:rPr>
        <w:t>,</w:t>
      </w:r>
      <w:r>
        <w:rPr>
          <w:color w:val="000000"/>
        </w:rPr>
        <w:t xml:space="preserve"> “no such explicit prohibition is necessary” because the requested reimbursement clearly goes against the </w:t>
      </w:r>
      <w:r>
        <w:rPr>
          <w:i/>
          <w:iCs/>
          <w:color w:val="000000"/>
        </w:rPr>
        <w:t>purpose</w:t>
      </w:r>
      <w:r>
        <w:rPr>
          <w:color w:val="000000"/>
        </w:rPr>
        <w:t xml:space="preserve"> of a reorganization - “Reorganization plans exist to pay claims </w:t>
      </w:r>
      <w:r w:rsidR="00110F91">
        <w:rPr>
          <w:color w:val="000000"/>
        </w:rPr>
        <w:t xml:space="preserve">. . . </w:t>
      </w:r>
      <w:r>
        <w:rPr>
          <w:color w:val="000000"/>
        </w:rPr>
        <w:t>[the] professional fee expenses were all incurred post-petition</w:t>
      </w:r>
      <w:r w:rsidR="008B54D4">
        <w:rPr>
          <w:color w:val="000000"/>
        </w:rPr>
        <w:t>,</w:t>
      </w:r>
      <w:r>
        <w:rPr>
          <w:color w:val="000000"/>
        </w:rPr>
        <w:t xml:space="preserve"> and thus cannot be treated as </w:t>
      </w:r>
      <w:r w:rsidR="008B54D4">
        <w:rPr>
          <w:color w:val="000000"/>
        </w:rPr>
        <w:t>‘</w:t>
      </w:r>
      <w:r>
        <w:rPr>
          <w:color w:val="000000"/>
        </w:rPr>
        <w:t>claims.</w:t>
      </w:r>
      <w:r w:rsidR="008B54D4">
        <w:rPr>
          <w:color w:val="000000"/>
        </w:rPr>
        <w:t>’</w:t>
      </w:r>
      <w:r>
        <w:rPr>
          <w:color w:val="000000"/>
        </w:rPr>
        <w:t>”</w:t>
      </w:r>
      <w:r w:rsidR="003E7DC0">
        <w:rPr>
          <w:color w:val="000000"/>
        </w:rPr>
        <w:t xml:space="preserve"> </w:t>
      </w:r>
      <w:r>
        <w:rPr>
          <w:color w:val="000000"/>
        </w:rPr>
        <w:t xml:space="preserve"> </w:t>
      </w:r>
      <w:r w:rsidR="00FD7892">
        <w:rPr>
          <w:i/>
          <w:iCs/>
          <w:color w:val="000000"/>
        </w:rPr>
        <w:t xml:space="preserve">Id. </w:t>
      </w:r>
      <w:r>
        <w:rPr>
          <w:color w:val="000000"/>
        </w:rPr>
        <w:t>at 293</w:t>
      </w:r>
      <w:r w:rsidR="006A227C">
        <w:rPr>
          <w:color w:val="000000"/>
        </w:rPr>
        <w:t xml:space="preserve">.  </w:t>
      </w:r>
      <w:r>
        <w:rPr>
          <w:color w:val="000000"/>
        </w:rPr>
        <w:t>He further noted that the federal bankruptcy scheme “cannot remain comprehensive if interested parties and bankruptcy courts in each case are free to tweak the law to fit their preferences</w:t>
      </w:r>
      <w:r w:rsidR="00FA79C1">
        <w:rPr>
          <w:color w:val="000000"/>
        </w:rPr>
        <w:t xml:space="preserve">.”  </w:t>
      </w:r>
      <w:r>
        <w:rPr>
          <w:i/>
          <w:iCs/>
          <w:color w:val="000000"/>
        </w:rPr>
        <w:t>In re Lehman Bros</w:t>
      </w:r>
      <w:r w:rsidR="006A227C">
        <w:rPr>
          <w:i/>
          <w:iCs/>
          <w:color w:val="000000"/>
        </w:rPr>
        <w:t xml:space="preserve">. </w:t>
      </w:r>
      <w:r>
        <w:rPr>
          <w:i/>
          <w:iCs/>
          <w:color w:val="000000"/>
        </w:rPr>
        <w:t>Holdings Inc</w:t>
      </w:r>
      <w:r>
        <w:rPr>
          <w:color w:val="000000"/>
        </w:rPr>
        <w:t>.</w:t>
      </w:r>
      <w:r w:rsidR="008B54D4">
        <w:rPr>
          <w:color w:val="000000"/>
        </w:rPr>
        <w:t>,</w:t>
      </w:r>
      <w:hyperlink r:id="rId229" w:history="1">
        <w:r>
          <w:rPr>
            <w:color w:val="000000"/>
          </w:rPr>
          <w:t xml:space="preserve"> 508 </w:t>
        </w:r>
        <w:r w:rsidR="00755A0D">
          <w:rPr>
            <w:color w:val="000000"/>
          </w:rPr>
          <w:t xml:space="preserve">B.R. </w:t>
        </w:r>
        <w:r>
          <w:rPr>
            <w:color w:val="000000"/>
          </w:rPr>
          <w:t>283</w:t>
        </w:r>
        <w:r w:rsidR="008B54D4">
          <w:rPr>
            <w:color w:val="000000"/>
          </w:rPr>
          <w:t>,</w:t>
        </w:r>
        <w:r>
          <w:rPr>
            <w:color w:val="000000"/>
          </w:rPr>
          <w:t xml:space="preserve"> 294 </w:t>
        </w:r>
      </w:hyperlink>
      <w:r>
        <w:rPr>
          <w:color w:val="000000"/>
        </w:rPr>
        <w:t>(S.D.N.Y.</w:t>
      </w:r>
      <w:r w:rsidR="003E7DC0">
        <w:rPr>
          <w:color w:val="000000"/>
        </w:rPr>
        <w:t xml:space="preserve"> </w:t>
      </w:r>
      <w:r>
        <w:rPr>
          <w:color w:val="000000"/>
        </w:rPr>
        <w:t>2014) (internal citations omitted).</w:t>
      </w:r>
    </w:p>
    <w:p w14:paraId="2E34ABC5" w14:textId="4E1C67E8" w:rsidR="00A77BBD" w:rsidRDefault="00A77BBD" w:rsidP="00A77BBD">
      <w:pPr>
        <w:pStyle w:val="BodyTextFirstIndent"/>
      </w:pPr>
      <w:r>
        <w:rPr>
          <w:color w:val="000000"/>
        </w:rPr>
        <w:t xml:space="preserve">As </w:t>
      </w:r>
      <w:r w:rsidR="00DC3AE7">
        <w:rPr>
          <w:color w:val="000000"/>
        </w:rPr>
        <w:t>we</w:t>
      </w:r>
      <w:r>
        <w:rPr>
          <w:color w:val="000000"/>
        </w:rPr>
        <w:t xml:space="preserve"> noted above</w:t>
      </w:r>
      <w:r w:rsidR="008B54D4">
        <w:rPr>
          <w:color w:val="000000"/>
        </w:rPr>
        <w:t>,</w:t>
      </w:r>
      <w:r>
        <w:rPr>
          <w:color w:val="000000"/>
        </w:rPr>
        <w:t xml:space="preserve"> Justice Breyer recently wrote when discussing the priority scheme set out in the Bankruptcy Code</w:t>
      </w:r>
      <w:r w:rsidR="008B54D4">
        <w:rPr>
          <w:color w:val="000000"/>
        </w:rPr>
        <w:t>,</w:t>
      </w:r>
      <w:r>
        <w:rPr>
          <w:color w:val="000000"/>
        </w:rPr>
        <w:t xml:space="preserve"> the importance of certain critical aspects of the bankruptcy scheme “leads us to expect more than simple statutory silence if</w:t>
      </w:r>
      <w:r w:rsidR="008B54D4">
        <w:rPr>
          <w:color w:val="000000"/>
        </w:rPr>
        <w:t>,</w:t>
      </w:r>
      <w:r>
        <w:rPr>
          <w:color w:val="000000"/>
        </w:rPr>
        <w:t xml:space="preserve"> and when</w:t>
      </w:r>
      <w:r w:rsidR="008B54D4">
        <w:rPr>
          <w:color w:val="000000"/>
        </w:rPr>
        <w:t>,</w:t>
      </w:r>
      <w:r>
        <w:rPr>
          <w:color w:val="000000"/>
        </w:rPr>
        <w:t xml:space="preserve"> Congress were to intend a major departure</w:t>
      </w:r>
      <w:r w:rsidR="00FA79C1">
        <w:rPr>
          <w:color w:val="000000"/>
        </w:rPr>
        <w:t xml:space="preserve">.”  </w:t>
      </w:r>
      <w:r>
        <w:rPr>
          <w:i/>
          <w:iCs/>
          <w:color w:val="000000"/>
        </w:rPr>
        <w:t>Jevic Holdings Corp</w:t>
      </w:r>
      <w:r>
        <w:rPr>
          <w:color w:val="000000"/>
        </w:rPr>
        <w:t>.</w:t>
      </w:r>
      <w:r w:rsidR="008B54D4">
        <w:rPr>
          <w:color w:val="000000"/>
        </w:rPr>
        <w:t>,</w:t>
      </w:r>
      <w:hyperlink r:id="rId230" w:history="1">
        <w:r>
          <w:rPr>
            <w:color w:val="000000"/>
          </w:rPr>
          <w:t xml:space="preserve"> 137 </w:t>
        </w:r>
        <w:r w:rsidR="009108C3">
          <w:rPr>
            <w:color w:val="000000"/>
          </w:rPr>
          <w:t xml:space="preserve">S. Ct. </w:t>
        </w:r>
        <w:r>
          <w:rPr>
            <w:color w:val="000000"/>
          </w:rPr>
          <w:t>at 984</w:t>
        </w:r>
      </w:hyperlink>
      <w:r w:rsidR="006A227C">
        <w:rPr>
          <w:color w:val="000000"/>
        </w:rPr>
        <w:t xml:space="preserve">.  </w:t>
      </w:r>
      <w:r>
        <w:rPr>
          <w:color w:val="000000"/>
        </w:rPr>
        <w:t>Granting releases to non-debtors for claims that could not be released in favor of the debtors themselves is so far outside the scope of the Bankruptcy Code and the purposes of bankruptcy that the “silence does not necessarily mean consent” principle applies with equal force.</w:t>
      </w:r>
    </w:p>
    <w:p w14:paraId="7FB32A4A" w14:textId="252B7891" w:rsidR="00A77BBD" w:rsidRDefault="00A77BBD" w:rsidP="00A77BBD">
      <w:pPr>
        <w:pStyle w:val="BodyTextFirstIndent"/>
      </w:pPr>
      <w:r>
        <w:rPr>
          <w:color w:val="000000"/>
        </w:rPr>
        <w:t>Second</w:t>
      </w:r>
      <w:r w:rsidR="008B54D4">
        <w:rPr>
          <w:color w:val="000000"/>
        </w:rPr>
        <w:t>,</w:t>
      </w:r>
      <w:r>
        <w:rPr>
          <w:color w:val="000000"/>
        </w:rPr>
        <w:t xml:space="preserve"> it is hard to infer consent from silence in circumstances when one would not expect Congress to speak</w:t>
      </w:r>
      <w:r w:rsidR="006A227C">
        <w:rPr>
          <w:color w:val="000000"/>
        </w:rPr>
        <w:t xml:space="preserve">.  </w:t>
      </w:r>
      <w:r>
        <w:rPr>
          <w:color w:val="000000"/>
        </w:rPr>
        <w:t xml:space="preserve">The Code was intended “to free the debtor of his personal obligations </w:t>
      </w:r>
      <w:r>
        <w:rPr>
          <w:i/>
          <w:iCs/>
          <w:color w:val="000000"/>
        </w:rPr>
        <w:t>while ensuring that no one else reaps a similar benefit</w:t>
      </w:r>
      <w:r w:rsidR="00216346">
        <w:rPr>
          <w:i/>
          <w:iCs/>
          <w:color w:val="000000"/>
        </w:rPr>
        <w:t>.</w:t>
      </w:r>
      <w:r>
        <w:rPr>
          <w:color w:val="000000"/>
        </w:rPr>
        <w:t xml:space="preserve">” </w:t>
      </w:r>
      <w:r>
        <w:rPr>
          <w:i/>
          <w:iCs/>
          <w:color w:val="000000"/>
        </w:rPr>
        <w:t>Green</w:t>
      </w:r>
      <w:r w:rsidR="00E150C1">
        <w:rPr>
          <w:i/>
          <w:iCs/>
          <w:color w:val="000000"/>
        </w:rPr>
        <w:t xml:space="preserve"> v. </w:t>
      </w:r>
      <w:r>
        <w:rPr>
          <w:i/>
          <w:iCs/>
          <w:color w:val="000000"/>
        </w:rPr>
        <w:t>Welsh</w:t>
      </w:r>
      <w:r w:rsidR="008B54D4">
        <w:rPr>
          <w:color w:val="000000"/>
        </w:rPr>
        <w:t>,</w:t>
      </w:r>
      <w:hyperlink r:id="rId231" w:history="1">
        <w:r>
          <w:rPr>
            <w:color w:val="000000"/>
          </w:rPr>
          <w:t xml:space="preserve"> 956 F.2d 30</w:t>
        </w:r>
        <w:r w:rsidR="008B54D4">
          <w:rPr>
            <w:color w:val="000000"/>
          </w:rPr>
          <w:t>,</w:t>
        </w:r>
        <w:r>
          <w:rPr>
            <w:color w:val="000000"/>
          </w:rPr>
          <w:t xml:space="preserve"> 33</w:t>
        </w:r>
      </w:hyperlink>
      <w:r>
        <w:rPr>
          <w:color w:val="000000"/>
        </w:rPr>
        <w:t xml:space="preserve"> (2d </w:t>
      </w:r>
      <w:r w:rsidR="00E97455">
        <w:rPr>
          <w:color w:val="000000"/>
        </w:rPr>
        <w:t xml:space="preserve">Cir. </w:t>
      </w:r>
      <w:r>
        <w:rPr>
          <w:color w:val="000000"/>
        </w:rPr>
        <w:t>1992)</w:t>
      </w:r>
      <w:r w:rsidR="00581AE0">
        <w:rPr>
          <w:color w:val="000000"/>
        </w:rPr>
        <w:t xml:space="preserve"> </w:t>
      </w:r>
      <w:r>
        <w:rPr>
          <w:color w:val="000000"/>
        </w:rPr>
        <w:t>(emphasis added)</w:t>
      </w:r>
      <w:r w:rsidR="006A227C">
        <w:rPr>
          <w:color w:val="000000"/>
        </w:rPr>
        <w:t xml:space="preserve">.  </w:t>
      </w:r>
      <w:r>
        <w:rPr>
          <w:color w:val="000000"/>
        </w:rPr>
        <w:t>It is counterintuitive to imagine that Congress would have thought it necessary to include language specifically forbidding things that that ran counter to that purpose</w:t>
      </w:r>
      <w:r w:rsidR="006A227C">
        <w:rPr>
          <w:color w:val="000000"/>
        </w:rPr>
        <w:t xml:space="preserve">.  </w:t>
      </w:r>
      <w:r>
        <w:rPr>
          <w:color w:val="000000"/>
        </w:rPr>
        <w:t xml:space="preserve">As one of Judge </w:t>
      </w:r>
      <w:r w:rsidR="00E82FD6">
        <w:rPr>
          <w:color w:val="000000"/>
        </w:rPr>
        <w:t>Wains</w:t>
      </w:r>
      <w:r w:rsidR="008B54D4">
        <w:rPr>
          <w:color w:val="000000"/>
        </w:rPr>
        <w:t>’</w:t>
      </w:r>
      <w:r>
        <w:rPr>
          <w:color w:val="000000"/>
        </w:rPr>
        <w:t>s colleagues recently reminded us</w:t>
      </w:r>
      <w:r w:rsidR="008B54D4">
        <w:rPr>
          <w:color w:val="000000"/>
        </w:rPr>
        <w:t>,</w:t>
      </w:r>
      <w:r>
        <w:rPr>
          <w:color w:val="000000"/>
        </w:rPr>
        <w:t xml:space="preserve"> the ordering of an involuntary release of third- party claims against non-debtors is “an extraordinary thing” that is “different </w:t>
      </w:r>
      <w:r w:rsidR="00110F91">
        <w:rPr>
          <w:color w:val="000000"/>
        </w:rPr>
        <w:t xml:space="preserve">. . . </w:t>
      </w:r>
      <w:r>
        <w:rPr>
          <w:color w:val="000000"/>
        </w:rPr>
        <w:t>from what courts ordinarily do</w:t>
      </w:r>
      <w:r w:rsidR="00FA79C1">
        <w:rPr>
          <w:color w:val="000000"/>
        </w:rPr>
        <w:t xml:space="preserve">.”  </w:t>
      </w:r>
      <w:r>
        <w:rPr>
          <w:i/>
          <w:iCs/>
          <w:color w:val="000000"/>
        </w:rPr>
        <w:t>In re Aegean Marine Petroleum Network Inc</w:t>
      </w:r>
      <w:r>
        <w:rPr>
          <w:color w:val="000000"/>
        </w:rPr>
        <w:t>.</w:t>
      </w:r>
      <w:r w:rsidR="008B54D4">
        <w:rPr>
          <w:color w:val="000000"/>
        </w:rPr>
        <w:t>,</w:t>
      </w:r>
      <w:hyperlink r:id="rId232" w:history="1">
        <w:r>
          <w:rPr>
            <w:color w:val="000000"/>
          </w:rPr>
          <w:t xml:space="preserve"> 599 </w:t>
        </w:r>
        <w:r w:rsidR="00755A0D">
          <w:rPr>
            <w:color w:val="000000"/>
          </w:rPr>
          <w:t xml:space="preserve">B.R. </w:t>
        </w:r>
        <w:r>
          <w:rPr>
            <w:color w:val="000000"/>
          </w:rPr>
          <w:t>717</w:t>
        </w:r>
        <w:r w:rsidR="008B54D4">
          <w:rPr>
            <w:color w:val="000000"/>
          </w:rPr>
          <w:t>,</w:t>
        </w:r>
        <w:r>
          <w:rPr>
            <w:color w:val="000000"/>
          </w:rPr>
          <w:t xml:space="preserve"> 723</w:t>
        </w:r>
      </w:hyperlink>
      <w:r>
        <w:rPr>
          <w:color w:val="000000"/>
        </w:rPr>
        <w:t xml:space="preserve"> (S.D.N.Y</w:t>
      </w:r>
      <w:r w:rsidR="006A227C">
        <w:rPr>
          <w:color w:val="000000"/>
        </w:rPr>
        <w:t xml:space="preserve">.  </w:t>
      </w:r>
      <w:r>
        <w:rPr>
          <w:color w:val="000000"/>
        </w:rPr>
        <w:t>2019).</w:t>
      </w:r>
    </w:p>
    <w:p w14:paraId="176A56EA" w14:textId="39425A5F" w:rsidR="00A77BBD" w:rsidRDefault="00A77BBD" w:rsidP="00A77BBD">
      <w:pPr>
        <w:pStyle w:val="BodyTextFirstIndent"/>
      </w:pPr>
      <w:r>
        <w:rPr>
          <w:color w:val="000000"/>
        </w:rPr>
        <w:t>That is especially true where</w:t>
      </w:r>
      <w:r w:rsidR="008B54D4">
        <w:rPr>
          <w:color w:val="000000"/>
        </w:rPr>
        <w:t>,</w:t>
      </w:r>
      <w:r>
        <w:rPr>
          <w:color w:val="000000"/>
        </w:rPr>
        <w:t xml:space="preserve"> as is proposed here</w:t>
      </w:r>
      <w:r w:rsidR="008B54D4">
        <w:rPr>
          <w:color w:val="000000"/>
        </w:rPr>
        <w:t>,</w:t>
      </w:r>
      <w:r>
        <w:rPr>
          <w:color w:val="000000"/>
        </w:rPr>
        <w:t xml:space="preserve"> we find ourselves in what Judge </w:t>
      </w:r>
      <w:r w:rsidR="00DC3AE7">
        <w:rPr>
          <w:color w:val="000000"/>
        </w:rPr>
        <w:t>T</w:t>
      </w:r>
      <w:r>
        <w:rPr>
          <w:color w:val="000000"/>
        </w:rPr>
        <w:t>iles called “the odd situation where we are being asked to use an unwritten authority to release non-debtor officers and directors from claims when the Bankruptcy Code would bar us from giving similar relief to those persons if they were debtors in their own cases</w:t>
      </w:r>
      <w:r w:rsidR="00FA79C1">
        <w:rPr>
          <w:color w:val="000000"/>
        </w:rPr>
        <w:t xml:space="preserve">.”  </w:t>
      </w:r>
      <w:r w:rsidR="00FD7892">
        <w:rPr>
          <w:i/>
          <w:iCs/>
          <w:color w:val="000000"/>
        </w:rPr>
        <w:t xml:space="preserve">Id. </w:t>
      </w:r>
      <w:r>
        <w:rPr>
          <w:color w:val="000000"/>
        </w:rPr>
        <w:t xml:space="preserve">at 726 (citing </w:t>
      </w:r>
      <w:r>
        <w:rPr>
          <w:i/>
          <w:iCs/>
          <w:color w:val="000000"/>
        </w:rPr>
        <w:t>Metromedia</w:t>
      </w:r>
      <w:r w:rsidR="008B54D4">
        <w:rPr>
          <w:color w:val="000000"/>
        </w:rPr>
        <w:t>,</w:t>
      </w:r>
      <w:r>
        <w:rPr>
          <w:color w:val="000000"/>
        </w:rPr>
        <w:t xml:space="preserve"> </w:t>
      </w:r>
      <w:hyperlink r:id="rId233" w:history="1">
        <w:r>
          <w:rPr>
            <w:color w:val="000000"/>
          </w:rPr>
          <w:t>416</w:t>
        </w:r>
      </w:hyperlink>
      <w:r>
        <w:rPr>
          <w:color w:val="000000"/>
        </w:rPr>
        <w:t xml:space="preserve"> </w:t>
      </w:r>
      <w:hyperlink r:id="rId234" w:history="1">
        <w:r>
          <w:rPr>
            <w:color w:val="000000"/>
          </w:rPr>
          <w:t>F.3d at 142</w:t>
        </w:r>
      </w:hyperlink>
      <w:r>
        <w:rPr>
          <w:color w:val="000000"/>
        </w:rPr>
        <w:t>).</w:t>
      </w:r>
    </w:p>
    <w:p w14:paraId="65951690" w14:textId="41A5F07D" w:rsidR="00A77BBD" w:rsidRDefault="00A77BBD" w:rsidP="00A77BBD">
      <w:pPr>
        <w:pStyle w:val="BodyTextFirstIndent"/>
      </w:pPr>
      <w:r>
        <w:rPr>
          <w:color w:val="000000"/>
        </w:rPr>
        <w:t>Third</w:t>
      </w:r>
      <w:r w:rsidR="008B54D4">
        <w:rPr>
          <w:color w:val="000000"/>
        </w:rPr>
        <w:t>,</w:t>
      </w:r>
      <w:r>
        <w:rPr>
          <w:color w:val="000000"/>
        </w:rPr>
        <w:t xml:space="preserve"> Congress has in fact spoken on this subject</w:t>
      </w:r>
      <w:r w:rsidR="008B54D4">
        <w:rPr>
          <w:color w:val="000000"/>
        </w:rPr>
        <w:t>,</w:t>
      </w:r>
      <w:r>
        <w:rPr>
          <w:color w:val="000000"/>
        </w:rPr>
        <w:t xml:space="preserve"> and what it has said suggests that it intended Sections 524(g) and (h) to preempt the field where non-debtor releases were concerned</w:t>
      </w:r>
      <w:r w:rsidR="006A227C">
        <w:rPr>
          <w:color w:val="000000"/>
        </w:rPr>
        <w:t xml:space="preserve">.  </w:t>
      </w:r>
      <w:r>
        <w:rPr>
          <w:color w:val="000000"/>
        </w:rPr>
        <w:t>I will not repeat the extensive discussion about the law and its legislative history that appears above</w:t>
      </w:r>
      <w:r w:rsidR="008B54D4">
        <w:rPr>
          <w:color w:val="000000"/>
        </w:rPr>
        <w:t>,</w:t>
      </w:r>
      <w:r>
        <w:rPr>
          <w:color w:val="000000"/>
        </w:rPr>
        <w:t xml:space="preserve"> except to say that Congress in its wisdom elected to limit Code-based authority to release third party claims against non-debtors to asbestos litigation - and it declined either to agree with those who argued that bankruptcy courts already had a broader power to authorize such releases</w:t>
      </w:r>
      <w:r w:rsidR="006A227C">
        <w:rPr>
          <w:color w:val="000000"/>
        </w:rPr>
        <w:t xml:space="preserve">.  </w:t>
      </w:r>
      <w:r>
        <w:rPr>
          <w:color w:val="000000"/>
        </w:rPr>
        <w:t>Congress was not unaware that there were non-asbestos bankruptcies with thousands of claimants and nationwide implications in the early 1990s</w:t>
      </w:r>
      <w:r w:rsidR="006A227C">
        <w:rPr>
          <w:color w:val="000000"/>
        </w:rPr>
        <w:t xml:space="preserve">.  </w:t>
      </w:r>
      <w:r>
        <w:rPr>
          <w:color w:val="000000"/>
        </w:rPr>
        <w:t>Other mass tort bankruptcies with thousands upon thousands of potential claimants were pending (</w:t>
      </w:r>
      <w:r>
        <w:rPr>
          <w:i/>
          <w:iCs/>
          <w:color w:val="000000"/>
        </w:rPr>
        <w:t>i.e</w:t>
      </w:r>
      <w:r>
        <w:rPr>
          <w:color w:val="000000"/>
        </w:rPr>
        <w:t>.</w:t>
      </w:r>
      <w:r w:rsidR="008B54D4">
        <w:rPr>
          <w:color w:val="000000"/>
        </w:rPr>
        <w:t>,</w:t>
      </w:r>
      <w:r>
        <w:rPr>
          <w:color w:val="000000"/>
        </w:rPr>
        <w:t xml:space="preserve"> in </w:t>
      </w:r>
      <w:r>
        <w:rPr>
          <w:i/>
          <w:iCs/>
          <w:color w:val="000000"/>
        </w:rPr>
        <w:t>A.H</w:t>
      </w:r>
      <w:r w:rsidR="006A227C">
        <w:rPr>
          <w:i/>
          <w:iCs/>
          <w:color w:val="000000"/>
        </w:rPr>
        <w:t xml:space="preserve">. </w:t>
      </w:r>
      <w:r>
        <w:rPr>
          <w:i/>
          <w:iCs/>
          <w:color w:val="000000"/>
        </w:rPr>
        <w:t>Robins/Dalkon Shield</w:t>
      </w:r>
      <w:r>
        <w:rPr>
          <w:color w:val="000000"/>
        </w:rPr>
        <w:t>)</w:t>
      </w:r>
      <w:r w:rsidR="008B54D4">
        <w:rPr>
          <w:color w:val="000000"/>
        </w:rPr>
        <w:t>,</w:t>
      </w:r>
      <w:r>
        <w:rPr>
          <w:color w:val="000000"/>
        </w:rPr>
        <w:t xml:space="preserve"> as was the highly publicized bankruptcy of a major investment bank (</w:t>
      </w:r>
      <w:r>
        <w:rPr>
          <w:i/>
          <w:iCs/>
          <w:color w:val="000000"/>
        </w:rPr>
        <w:t>Drexel</w:t>
      </w:r>
      <w:r>
        <w:rPr>
          <w:color w:val="000000"/>
        </w:rPr>
        <w:t>)</w:t>
      </w:r>
      <w:r w:rsidR="006A227C">
        <w:rPr>
          <w:color w:val="000000"/>
        </w:rPr>
        <w:t xml:space="preserve">.  </w:t>
      </w:r>
      <w:r>
        <w:rPr>
          <w:color w:val="000000"/>
        </w:rPr>
        <w:t xml:space="preserve">The Judiciary Committee mentioned the “experimentation” with </w:t>
      </w:r>
      <w:r>
        <w:rPr>
          <w:i/>
          <w:iCs/>
          <w:color w:val="000000"/>
        </w:rPr>
        <w:t>Manville</w:t>
      </w:r>
      <w:r>
        <w:rPr>
          <w:color w:val="000000"/>
        </w:rPr>
        <w:t>-like relief that was beginning in other industries.</w:t>
      </w:r>
    </w:p>
    <w:p w14:paraId="238F7E10" w14:textId="00187038" w:rsidR="00A77BBD" w:rsidRDefault="00A77BBD" w:rsidP="00A77BBD">
      <w:pPr>
        <w:pStyle w:val="BodyTextFirstIndent"/>
      </w:pPr>
      <w:r>
        <w:rPr>
          <w:color w:val="000000"/>
        </w:rPr>
        <w:t>Yet Congress declined to make this extraordinary form of relief - relief that ran counter to the fundamental purpose of the Bankruptcy Code - available in circumstances other than asbestos bankruptcies</w:t>
      </w:r>
      <w:r w:rsidR="006A227C">
        <w:rPr>
          <w:color w:val="000000"/>
        </w:rPr>
        <w:t xml:space="preserve">.  </w:t>
      </w:r>
      <w:r>
        <w:rPr>
          <w:color w:val="000000"/>
        </w:rPr>
        <w:t>And it reserved for itself the right to change that.</w:t>
      </w:r>
    </w:p>
    <w:p w14:paraId="52E3E6EE" w14:textId="2C2F8311" w:rsidR="00A77BBD" w:rsidRDefault="00A77BBD" w:rsidP="00A77BBD">
      <w:pPr>
        <w:pStyle w:val="BodyTextFirstIndent"/>
      </w:pPr>
      <w:r>
        <w:rPr>
          <w:color w:val="000000"/>
        </w:rPr>
        <w:t>So the silence that speaks volumes is not Congress</w:t>
      </w:r>
      <w:r w:rsidR="008B54D4">
        <w:rPr>
          <w:color w:val="000000"/>
        </w:rPr>
        <w:t>’</w:t>
      </w:r>
      <w:r>
        <w:rPr>
          <w:color w:val="000000"/>
        </w:rPr>
        <w:t xml:space="preserve"> failure to say</w:t>
      </w:r>
      <w:r w:rsidR="008B54D4">
        <w:rPr>
          <w:color w:val="000000"/>
        </w:rPr>
        <w:t>,</w:t>
      </w:r>
      <w:r>
        <w:rPr>
          <w:color w:val="000000"/>
        </w:rPr>
        <w:t xml:space="preserve"> “And you can</w:t>
      </w:r>
      <w:r w:rsidR="008B54D4">
        <w:rPr>
          <w:color w:val="000000"/>
        </w:rPr>
        <w:t>’</w:t>
      </w:r>
      <w:r>
        <w:rPr>
          <w:color w:val="000000"/>
        </w:rPr>
        <w:t>t give involuntary non-debtor releases to anyone except in an asbestos case</w:t>
      </w:r>
      <w:r w:rsidR="00FA79C1">
        <w:rPr>
          <w:color w:val="000000"/>
        </w:rPr>
        <w:t xml:space="preserve">.”  </w:t>
      </w:r>
      <w:r>
        <w:rPr>
          <w:color w:val="000000"/>
        </w:rPr>
        <w:t>The silence that speaks volumes is the twenty-seven years of unbroken silence that have passed since Congress said</w:t>
      </w:r>
      <w:r w:rsidR="008B54D4">
        <w:rPr>
          <w:color w:val="000000"/>
        </w:rPr>
        <w:t>,</w:t>
      </w:r>
      <w:r>
        <w:rPr>
          <w:color w:val="000000"/>
        </w:rPr>
        <w:t xml:space="preserve"> “We are limiting this to asbestos for now</w:t>
      </w:r>
      <w:r w:rsidR="008B54D4">
        <w:rPr>
          <w:color w:val="000000"/>
        </w:rPr>
        <w:t>,</w:t>
      </w:r>
      <w:r>
        <w:rPr>
          <w:color w:val="000000"/>
        </w:rPr>
        <w:t xml:space="preserve"> and maybe</w:t>
      </w:r>
      <w:r w:rsidR="008B54D4">
        <w:rPr>
          <w:color w:val="000000"/>
        </w:rPr>
        <w:t>,</w:t>
      </w:r>
      <w:r>
        <w:rPr>
          <w:color w:val="000000"/>
        </w:rPr>
        <w:t xml:space="preserve"> when we see how it works in that context</w:t>
      </w:r>
      <w:r w:rsidR="008B54D4">
        <w:rPr>
          <w:color w:val="000000"/>
        </w:rPr>
        <w:t>,</w:t>
      </w:r>
      <w:r>
        <w:rPr>
          <w:color w:val="000000"/>
        </w:rPr>
        <w:t xml:space="preserve"> we will extend it later.”</w:t>
      </w:r>
    </w:p>
    <w:p w14:paraId="4D785CBA" w14:textId="1078199B" w:rsidR="00A77BBD" w:rsidRDefault="00A77BBD" w:rsidP="00DC3AE7">
      <w:pPr>
        <w:pStyle w:val="BodyTextFirstIndent"/>
      </w:pPr>
      <w:r>
        <w:rPr>
          <w:color w:val="000000"/>
        </w:rPr>
        <w:t>Fourth</w:t>
      </w:r>
      <w:r w:rsidR="008B54D4">
        <w:rPr>
          <w:color w:val="000000"/>
        </w:rPr>
        <w:t>,</w:t>
      </w:r>
      <w:r>
        <w:rPr>
          <w:color w:val="000000"/>
        </w:rPr>
        <w:t xml:space="preserve"> but by no means least</w:t>
      </w:r>
      <w:r w:rsidR="008B54D4">
        <w:rPr>
          <w:color w:val="000000"/>
        </w:rPr>
        <w:t>,</w:t>
      </w:r>
      <w:r>
        <w:rPr>
          <w:color w:val="000000"/>
        </w:rPr>
        <w:t xml:space="preserve"> “it is a commonplace of statutory construction that the</w:t>
      </w:r>
      <w:r w:rsidR="00DC3AE7">
        <w:t xml:space="preserve"> </w:t>
      </w:r>
      <w:r>
        <w:rPr>
          <w:color w:val="000000"/>
        </w:rPr>
        <w:t>specific governs the general</w:t>
      </w:r>
      <w:r w:rsidR="00FA79C1">
        <w:rPr>
          <w:color w:val="000000"/>
        </w:rPr>
        <w:t xml:space="preserve">.”  </w:t>
      </w:r>
      <w:r>
        <w:rPr>
          <w:i/>
          <w:iCs/>
          <w:color w:val="000000"/>
        </w:rPr>
        <w:t>RadLAXGateway Hotel</w:t>
      </w:r>
      <w:r w:rsidR="008B54D4" w:rsidRPr="005B0FDA">
        <w:rPr>
          <w:color w:val="000000"/>
        </w:rPr>
        <w:t>,</w:t>
      </w:r>
      <w:hyperlink r:id="rId235" w:history="1">
        <w:r>
          <w:rPr>
            <w:color w:val="000000"/>
          </w:rPr>
          <w:t xml:space="preserve"> 504 </w:t>
        </w:r>
        <w:r w:rsidR="002F10FB">
          <w:rPr>
            <w:color w:val="000000"/>
          </w:rPr>
          <w:t xml:space="preserve">U.S. </w:t>
        </w:r>
        <w:r>
          <w:rPr>
            <w:color w:val="000000"/>
          </w:rPr>
          <w:t>at 384</w:t>
        </w:r>
      </w:hyperlink>
      <w:r w:rsidR="006A227C">
        <w:rPr>
          <w:color w:val="000000"/>
        </w:rPr>
        <w:t xml:space="preserve">.  </w:t>
      </w:r>
      <w:r>
        <w:rPr>
          <w:color w:val="000000"/>
        </w:rPr>
        <w:t>The Supreme Court of the</w:t>
      </w:r>
      <w:r w:rsidR="005B0FDA">
        <w:rPr>
          <w:color w:val="000000"/>
        </w:rPr>
        <w:t xml:space="preserve"> </w:t>
      </w:r>
      <w:r>
        <w:rPr>
          <w:color w:val="000000"/>
        </w:rPr>
        <w:t>United States has relied on that principle on multiple occasions in refusing to allow generalized provisions of the Bankruptcy Code to override specific directives on a particular subject.</w:t>
      </w:r>
    </w:p>
    <w:p w14:paraId="1D8A2FC0" w14:textId="7C7283C8" w:rsidR="00A77BBD" w:rsidRDefault="00A77BBD" w:rsidP="00A77BBD">
      <w:pPr>
        <w:pStyle w:val="BodyTextFirstIndent"/>
      </w:pPr>
      <w:r>
        <w:rPr>
          <w:color w:val="000000"/>
        </w:rPr>
        <w:t>Take</w:t>
      </w:r>
      <w:r w:rsidR="008B54D4">
        <w:rPr>
          <w:color w:val="000000"/>
        </w:rPr>
        <w:t>,</w:t>
      </w:r>
      <w:r>
        <w:rPr>
          <w:color w:val="000000"/>
        </w:rPr>
        <w:t xml:space="preserve"> for example</w:t>
      </w:r>
      <w:r w:rsidR="008B54D4">
        <w:rPr>
          <w:color w:val="000000"/>
        </w:rPr>
        <w:t>,</w:t>
      </w:r>
      <w:r>
        <w:rPr>
          <w:color w:val="000000"/>
        </w:rPr>
        <w:t xml:space="preserve"> </w:t>
      </w:r>
      <w:r>
        <w:rPr>
          <w:i/>
          <w:iCs/>
          <w:color w:val="000000"/>
        </w:rPr>
        <w:t>RadLAX</w:t>
      </w:r>
      <w:r>
        <w:rPr>
          <w:color w:val="000000"/>
        </w:rPr>
        <w:t xml:space="preserve"> itself</w:t>
      </w:r>
      <w:r w:rsidR="006A227C">
        <w:rPr>
          <w:color w:val="000000"/>
        </w:rPr>
        <w:t xml:space="preserve">.  </w:t>
      </w:r>
      <w:r>
        <w:rPr>
          <w:color w:val="000000"/>
        </w:rPr>
        <w:t xml:space="preserve">The plan proposed by the debtors in </w:t>
      </w:r>
      <w:r>
        <w:rPr>
          <w:i/>
          <w:iCs/>
          <w:color w:val="000000"/>
        </w:rPr>
        <w:t>RadLAX</w:t>
      </w:r>
      <w:r>
        <w:rPr>
          <w:color w:val="000000"/>
        </w:rPr>
        <w:t xml:space="preserve"> provided for the sale of unencumbered assets securing a bank creditor</w:t>
      </w:r>
      <w:r w:rsidR="008B54D4">
        <w:rPr>
          <w:color w:val="000000"/>
        </w:rPr>
        <w:t>’</w:t>
      </w:r>
      <w:r>
        <w:rPr>
          <w:color w:val="000000"/>
        </w:rPr>
        <w:t>s claim free and clear of all liens</w:t>
      </w:r>
      <w:r w:rsidR="006A227C">
        <w:rPr>
          <w:color w:val="000000"/>
        </w:rPr>
        <w:t xml:space="preserve">.  </w:t>
      </w:r>
      <w:r>
        <w:rPr>
          <w:color w:val="000000"/>
        </w:rPr>
        <w:t>But</w:t>
      </w:r>
      <w:r w:rsidR="008B54D4">
        <w:rPr>
          <w:color w:val="000000"/>
        </w:rPr>
        <w:t>,</w:t>
      </w:r>
      <w:r>
        <w:rPr>
          <w:color w:val="000000"/>
        </w:rPr>
        <w:t xml:space="preserve"> in contravention of the provision governing such a “cram down” plan under the Bankruptcy Code</w:t>
      </w:r>
      <w:r w:rsidR="008B54D4">
        <w:rPr>
          <w:color w:val="000000"/>
        </w:rPr>
        <w:t>,</w:t>
      </w:r>
      <w:r>
        <w:rPr>
          <w:color w:val="000000"/>
        </w:rPr>
        <w:t xml:space="preserve"> the bid procedures proposed by the debtors precluded the bank holding the mortgage on the property from credit-bidding the amount of its claim</w:t>
      </w:r>
      <w:r w:rsidR="008B54D4">
        <w:rPr>
          <w:color w:val="000000"/>
        </w:rPr>
        <w:t>,</w:t>
      </w:r>
      <w:r>
        <w:rPr>
          <w:color w:val="000000"/>
        </w:rPr>
        <w:t xml:space="preserve"> which the Bankruptcy Code specifically authorized the bank to do.</w:t>
      </w:r>
      <w:hyperlink r:id="rId236" w:history="1">
        <w:r>
          <w:rPr>
            <w:color w:val="000000"/>
          </w:rPr>
          <w:t xml:space="preserve"> </w:t>
        </w:r>
        <w:r w:rsidR="00581AE0">
          <w:rPr>
            <w:color w:val="000000"/>
          </w:rPr>
          <w:t xml:space="preserve"> </w:t>
        </w:r>
        <w:r>
          <w:rPr>
            <w:color w:val="000000"/>
          </w:rPr>
          <w:t xml:space="preserve">11 </w:t>
        </w:r>
        <w:r w:rsidR="00522B24">
          <w:rPr>
            <w:color w:val="000000"/>
          </w:rPr>
          <w:t xml:space="preserve">U.S.C. </w:t>
        </w:r>
        <w:r>
          <w:rPr>
            <w:color w:val="000000"/>
          </w:rPr>
          <w:t>§ 1129(b)(2)(A)(ii)</w:t>
        </w:r>
      </w:hyperlink>
      <w:r w:rsidR="006A227C">
        <w:rPr>
          <w:color w:val="000000"/>
        </w:rPr>
        <w:t xml:space="preserve">.  </w:t>
      </w:r>
      <w:r>
        <w:rPr>
          <w:color w:val="000000"/>
        </w:rPr>
        <w:t>Nonetheless</w:t>
      </w:r>
      <w:r w:rsidR="008B54D4">
        <w:rPr>
          <w:color w:val="000000"/>
        </w:rPr>
        <w:t>,</w:t>
      </w:r>
      <w:r>
        <w:rPr>
          <w:color w:val="000000"/>
        </w:rPr>
        <w:t xml:space="preserve"> the bankruptcy court approved the plan</w:t>
      </w:r>
      <w:r w:rsidR="006A227C">
        <w:rPr>
          <w:color w:val="000000"/>
        </w:rPr>
        <w:t xml:space="preserve">.  </w:t>
      </w:r>
      <w:r>
        <w:rPr>
          <w:color w:val="000000"/>
        </w:rPr>
        <w:t>It agreed with the debtors that the bank did not need to be permitted to bid on the property as long as it was provided with the “indubitable equivalent” of its claim in some other fashion - in this particular case</w:t>
      </w:r>
      <w:r w:rsidR="008B54D4">
        <w:rPr>
          <w:color w:val="000000"/>
        </w:rPr>
        <w:t>,</w:t>
      </w:r>
      <w:r>
        <w:rPr>
          <w:color w:val="000000"/>
        </w:rPr>
        <w:t xml:space="preserve"> the cash generated by the auction.</w:t>
      </w:r>
      <w:hyperlink r:id="rId237" w:history="1">
        <w:r>
          <w:rPr>
            <w:color w:val="000000"/>
          </w:rPr>
          <w:t xml:space="preserve"> </w:t>
        </w:r>
        <w:r w:rsidR="00581AE0">
          <w:rPr>
            <w:color w:val="000000"/>
          </w:rPr>
          <w:t xml:space="preserve"> </w:t>
        </w:r>
        <w:r>
          <w:rPr>
            <w:color w:val="000000"/>
          </w:rPr>
          <w:t xml:space="preserve">11 </w:t>
        </w:r>
        <w:r w:rsidR="00522B24">
          <w:rPr>
            <w:color w:val="000000"/>
          </w:rPr>
          <w:t xml:space="preserve">U.S.C. </w:t>
        </w:r>
        <w:r>
          <w:rPr>
            <w:color w:val="000000"/>
          </w:rPr>
          <w:t>§ 1129(b)(2)(A)(i)-</w:t>
        </w:r>
      </w:hyperlink>
      <w:r>
        <w:rPr>
          <w:color w:val="000000"/>
        </w:rPr>
        <w:t xml:space="preserve"> </w:t>
      </w:r>
      <w:hyperlink r:id="rId238" w:history="1">
        <w:r>
          <w:rPr>
            <w:color w:val="000000"/>
          </w:rPr>
          <w:t>(iii)</w:t>
        </w:r>
      </w:hyperlink>
      <w:r>
        <w:rPr>
          <w:color w:val="000000"/>
        </w:rPr>
        <w:t>.</w:t>
      </w:r>
    </w:p>
    <w:p w14:paraId="6D368639" w14:textId="6A7AF645" w:rsidR="00A77BBD" w:rsidRDefault="00A77BBD" w:rsidP="00A77BBD">
      <w:pPr>
        <w:pStyle w:val="BodyTextFirstIndent"/>
      </w:pPr>
      <w:r>
        <w:rPr>
          <w:color w:val="000000"/>
        </w:rPr>
        <w:t>The Supreme Court rejected the debtors</w:t>
      </w:r>
      <w:r w:rsidR="008B54D4">
        <w:rPr>
          <w:color w:val="000000"/>
        </w:rPr>
        <w:t>’</w:t>
      </w:r>
      <w:r>
        <w:rPr>
          <w:color w:val="000000"/>
        </w:rPr>
        <w:t xml:space="preserve"> justification</w:t>
      </w:r>
      <w:r w:rsidR="008B54D4">
        <w:rPr>
          <w:color w:val="000000"/>
        </w:rPr>
        <w:t>,</w:t>
      </w:r>
      <w:r>
        <w:rPr>
          <w:color w:val="000000"/>
        </w:rPr>
        <w:t xml:space="preserve"> holding that the “indubitable equivalent” subclause (subclause iii) was a general subclause that could not be used to circumvent the specific requirement of subclause (ii) that the bank be permitted to credit-bid at the sale</w:t>
      </w:r>
      <w:r w:rsidR="006A227C">
        <w:rPr>
          <w:color w:val="000000"/>
        </w:rPr>
        <w:t xml:space="preserve">.  </w:t>
      </w:r>
      <w:r>
        <w:rPr>
          <w:color w:val="000000"/>
        </w:rPr>
        <w:t>The Court stated that the debtors</w:t>
      </w:r>
      <w:r w:rsidR="008B54D4">
        <w:rPr>
          <w:color w:val="000000"/>
        </w:rPr>
        <w:t>’</w:t>
      </w:r>
      <w:r>
        <w:rPr>
          <w:color w:val="000000"/>
        </w:rPr>
        <w:t xml:space="preserve"> reading of the statute - that clause (iii) permits precisely what clause (ii) proscribes - is “hyperliterally contrary to common sense</w:t>
      </w:r>
      <w:r w:rsidR="00FA79C1">
        <w:rPr>
          <w:color w:val="000000"/>
        </w:rPr>
        <w:t xml:space="preserve">.”  </w:t>
      </w:r>
      <w:r>
        <w:rPr>
          <w:i/>
          <w:iCs/>
          <w:color w:val="000000"/>
        </w:rPr>
        <w:t>RadLAX Gateway Hotel</w:t>
      </w:r>
      <w:r w:rsidR="008B54D4">
        <w:rPr>
          <w:color w:val="000000"/>
        </w:rPr>
        <w:t>,</w:t>
      </w:r>
      <w:hyperlink r:id="rId239" w:history="1">
        <w:r>
          <w:rPr>
            <w:color w:val="000000"/>
          </w:rPr>
          <w:t xml:space="preserve"> 566 U.S.</w:t>
        </w:r>
      </w:hyperlink>
      <w:r w:rsidR="00581AE0">
        <w:rPr>
          <w:color w:val="000000"/>
        </w:rPr>
        <w:t xml:space="preserve"> </w:t>
      </w:r>
      <w:hyperlink r:id="rId240" w:history="1">
        <w:r>
          <w:rPr>
            <w:color w:val="000000"/>
          </w:rPr>
          <w:t>at 640</w:t>
        </w:r>
      </w:hyperlink>
      <w:r w:rsidR="006A227C">
        <w:rPr>
          <w:color w:val="000000"/>
        </w:rPr>
        <w:t xml:space="preserve">.  </w:t>
      </w:r>
      <w:r>
        <w:rPr>
          <w:color w:val="000000"/>
        </w:rPr>
        <w:t>The Court called it “axiomatic” that specific statutory provisions control over general provisions and emphasized that the “general/specific canon” applies with particular force in bankruptcy</w:t>
      </w:r>
      <w:r w:rsidR="008B54D4">
        <w:rPr>
          <w:color w:val="000000"/>
        </w:rPr>
        <w:t>,</w:t>
      </w:r>
      <w:r>
        <w:rPr>
          <w:color w:val="000000"/>
        </w:rPr>
        <w:t xml:space="preserve"> because “Congress has enacted a comprehensive scheme and has deliberately targeted specific problems with specific solutions</w:t>
      </w:r>
      <w:r w:rsidR="00FA79C1">
        <w:rPr>
          <w:color w:val="000000"/>
        </w:rPr>
        <w:t xml:space="preserve">.”  </w:t>
      </w:r>
      <w:r>
        <w:rPr>
          <w:i/>
          <w:iCs/>
          <w:color w:val="000000"/>
        </w:rPr>
        <w:t>Id</w:t>
      </w:r>
      <w:r>
        <w:rPr>
          <w:color w:val="000000"/>
        </w:rPr>
        <w:t>.</w:t>
      </w:r>
    </w:p>
    <w:p w14:paraId="5FC83AA2" w14:textId="231E122B" w:rsidR="00A77BBD" w:rsidRDefault="00A77BBD" w:rsidP="00A77BBD">
      <w:pPr>
        <w:pStyle w:val="BodyTextFirstIndent"/>
      </w:pPr>
      <w:r>
        <w:rPr>
          <w:color w:val="000000"/>
        </w:rPr>
        <w:t>Where</w:t>
      </w:r>
      <w:r w:rsidR="008B54D4">
        <w:rPr>
          <w:color w:val="000000"/>
        </w:rPr>
        <w:t>,</w:t>
      </w:r>
      <w:r>
        <w:rPr>
          <w:color w:val="000000"/>
        </w:rPr>
        <w:t xml:space="preserve"> as here</w:t>
      </w:r>
      <w:r w:rsidR="008B54D4">
        <w:rPr>
          <w:color w:val="000000"/>
        </w:rPr>
        <w:t>,</w:t>
      </w:r>
      <w:r>
        <w:rPr>
          <w:color w:val="000000"/>
        </w:rPr>
        <w:t xml:space="preserve"> Congress has deliberately limited a specific targeted solution (the release of third-party claims against non-debtors) to a specific identified problem (asbestos bankruptcies) - and has even denominated that solution as an exception to the usual rule - </w:t>
      </w:r>
      <w:r>
        <w:rPr>
          <w:i/>
          <w:iCs/>
          <w:color w:val="000000"/>
        </w:rPr>
        <w:t>RadLAX</w:t>
      </w:r>
      <w:r>
        <w:rPr>
          <w:color w:val="000000"/>
        </w:rPr>
        <w:t xml:space="preserve"> strongly suggests that the general/specific canon should apply with particular force.</w:t>
      </w:r>
    </w:p>
    <w:p w14:paraId="1F7E317E" w14:textId="57FD4414" w:rsidR="00A77BBD" w:rsidRDefault="00A77BBD" w:rsidP="00A77BBD">
      <w:pPr>
        <w:pStyle w:val="BodyTextFirstIndent"/>
      </w:pPr>
      <w:r>
        <w:rPr>
          <w:i/>
          <w:iCs/>
          <w:color w:val="000000"/>
        </w:rPr>
        <w:t>Ginsberg &amp; Sons</w:t>
      </w:r>
      <w:r w:rsidR="00E150C1">
        <w:rPr>
          <w:i/>
          <w:iCs/>
          <w:color w:val="000000"/>
        </w:rPr>
        <w:t xml:space="preserve"> v. </w:t>
      </w:r>
      <w:r>
        <w:rPr>
          <w:i/>
          <w:iCs/>
          <w:color w:val="000000"/>
        </w:rPr>
        <w:t>Popkin</w:t>
      </w:r>
      <w:r w:rsidR="008B54D4">
        <w:rPr>
          <w:color w:val="000000"/>
        </w:rPr>
        <w:t>,</w:t>
      </w:r>
      <w:r>
        <w:rPr>
          <w:color w:val="000000"/>
        </w:rPr>
        <w:t xml:space="preserve"> </w:t>
      </w:r>
      <w:hyperlink r:id="rId241" w:history="1">
        <w:r>
          <w:rPr>
            <w:color w:val="000000"/>
          </w:rPr>
          <w:t xml:space="preserve">285 </w:t>
        </w:r>
        <w:r w:rsidR="002F10FB">
          <w:rPr>
            <w:color w:val="000000"/>
          </w:rPr>
          <w:t xml:space="preserve">U.S. </w:t>
        </w:r>
        <w:r>
          <w:rPr>
            <w:color w:val="000000"/>
          </w:rPr>
          <w:t xml:space="preserve">204 </w:t>
        </w:r>
      </w:hyperlink>
      <w:r>
        <w:rPr>
          <w:color w:val="000000"/>
        </w:rPr>
        <w:t>(1932) is a pre-Code case</w:t>
      </w:r>
      <w:r w:rsidR="008B54D4">
        <w:rPr>
          <w:color w:val="000000"/>
        </w:rPr>
        <w:t>,</w:t>
      </w:r>
      <w:r>
        <w:rPr>
          <w:color w:val="000000"/>
        </w:rPr>
        <w:t xml:space="preserve"> but it illustrates the same principle</w:t>
      </w:r>
      <w:r w:rsidR="006A227C">
        <w:rPr>
          <w:color w:val="000000"/>
        </w:rPr>
        <w:t xml:space="preserve">.  </w:t>
      </w:r>
      <w:r>
        <w:rPr>
          <w:color w:val="000000"/>
        </w:rPr>
        <w:t>There</w:t>
      </w:r>
      <w:r w:rsidR="008B54D4">
        <w:rPr>
          <w:color w:val="000000"/>
        </w:rPr>
        <w:t>,</w:t>
      </w:r>
      <w:r>
        <w:rPr>
          <w:color w:val="000000"/>
        </w:rPr>
        <w:t xml:space="preserve"> petitioner argued that Clause 15 of Section 2 of the Bankruptcy Act empowered district </w:t>
      </w:r>
      <w:r w:rsidR="00DC3AE7">
        <w:rPr>
          <w:color w:val="000000"/>
        </w:rPr>
        <w:t xml:space="preserve">court </w:t>
      </w:r>
      <w:r>
        <w:rPr>
          <w:color w:val="000000"/>
        </w:rPr>
        <w:t>judges to issue orders directing the arrest of the former officers and directors of the debtor</w:t>
      </w:r>
      <w:r w:rsidR="006A227C">
        <w:rPr>
          <w:color w:val="000000"/>
        </w:rPr>
        <w:t xml:space="preserve">.  </w:t>
      </w:r>
      <w:r>
        <w:rPr>
          <w:color w:val="000000"/>
        </w:rPr>
        <w:t>Clause 15 provided</w:t>
      </w:r>
      <w:r w:rsidR="008B54D4">
        <w:rPr>
          <w:color w:val="000000"/>
        </w:rPr>
        <w:t>,</w:t>
      </w:r>
      <w:r>
        <w:rPr>
          <w:color w:val="000000"/>
        </w:rPr>
        <w:t xml:space="preserve"> “The courts of bankruptcy are hereby invested with such jurisdiction at law and in equity as will enable them to exercise original jurisdiction in bankruptcy proceedings </w:t>
      </w:r>
      <w:r w:rsidR="00110F91">
        <w:rPr>
          <w:color w:val="000000"/>
        </w:rPr>
        <w:t xml:space="preserve">. . . </w:t>
      </w:r>
      <w:r>
        <w:rPr>
          <w:color w:val="000000"/>
        </w:rPr>
        <w:t>[t]o] make such orders</w:t>
      </w:r>
      <w:r w:rsidR="008B54D4">
        <w:rPr>
          <w:color w:val="000000"/>
        </w:rPr>
        <w:t>,</w:t>
      </w:r>
      <w:r>
        <w:rPr>
          <w:color w:val="000000"/>
        </w:rPr>
        <w:t xml:space="preserve"> issue such process</w:t>
      </w:r>
      <w:r w:rsidR="008B54D4">
        <w:rPr>
          <w:color w:val="000000"/>
        </w:rPr>
        <w:t>,</w:t>
      </w:r>
      <w:r>
        <w:rPr>
          <w:color w:val="000000"/>
        </w:rPr>
        <w:t xml:space="preserve"> and enter such judgments in addition to those specifically provided for as may be necessary for the enforcement of the provisions of this title</w:t>
      </w:r>
      <w:r w:rsidR="00FA79C1">
        <w:rPr>
          <w:color w:val="000000"/>
        </w:rPr>
        <w:t xml:space="preserve">.”  </w:t>
      </w:r>
      <w:r>
        <w:rPr>
          <w:color w:val="000000"/>
        </w:rPr>
        <w:t>Section 2</w:t>
      </w:r>
      <w:r w:rsidR="008B54D4">
        <w:rPr>
          <w:color w:val="000000"/>
        </w:rPr>
        <w:t>,</w:t>
      </w:r>
      <w:r>
        <w:rPr>
          <w:color w:val="000000"/>
        </w:rPr>
        <w:t xml:space="preserve"> 11 USCA s 11(15)</w:t>
      </w:r>
      <w:r w:rsidR="006A227C">
        <w:rPr>
          <w:color w:val="000000"/>
        </w:rPr>
        <w:t xml:space="preserve">.  </w:t>
      </w:r>
      <w:r>
        <w:rPr>
          <w:color w:val="000000"/>
        </w:rPr>
        <w:t>The reader will immediately appreciate that Clause 15 is the Bankruptcy Act</w:t>
      </w:r>
      <w:r w:rsidR="008B54D4">
        <w:rPr>
          <w:color w:val="000000"/>
        </w:rPr>
        <w:t>’</w:t>
      </w:r>
      <w:r>
        <w:rPr>
          <w:color w:val="000000"/>
        </w:rPr>
        <w:t>s equivalent of Section 105(a) of the Bankruptcy Code - it was the “necessary and appropriate” clause in the old statutory scheme.</w:t>
      </w:r>
    </w:p>
    <w:p w14:paraId="473D840B" w14:textId="5CB13FA7" w:rsidR="00A77BBD" w:rsidRDefault="00A77BBD" w:rsidP="00A77BBD">
      <w:pPr>
        <w:pStyle w:val="BodyTextFirstIndent"/>
      </w:pPr>
      <w:r>
        <w:rPr>
          <w:color w:val="000000"/>
        </w:rPr>
        <w:t>But Section 9(a) of the Bankruptcy Act specifically precluded “a court of bankruptcy” from directing the arrest of former directors and officers</w:t>
      </w:r>
      <w:r w:rsidR="008B54D4">
        <w:rPr>
          <w:color w:val="000000"/>
        </w:rPr>
        <w:t>,</w:t>
      </w:r>
      <w:r>
        <w:rPr>
          <w:color w:val="000000"/>
        </w:rPr>
        <w:t xml:space="preserve"> except for contempt or disobedience of its lawful orders</w:t>
      </w:r>
      <w:r w:rsidR="006A227C">
        <w:rPr>
          <w:color w:val="000000"/>
        </w:rPr>
        <w:t xml:space="preserve">.  </w:t>
      </w:r>
      <w:r>
        <w:rPr>
          <w:color w:val="000000"/>
        </w:rPr>
        <w:t>And Section 9(b) prescribed in great detail the conditions to and procedures for invoking the exception under which the court could direct the arrest and detention of such former directors and officers who posed a flight risk.</w:t>
      </w:r>
    </w:p>
    <w:p w14:paraId="1DFF6899" w14:textId="223C32DC" w:rsidR="00A77BBD" w:rsidRDefault="00A77BBD" w:rsidP="00A77BBD">
      <w:pPr>
        <w:pStyle w:val="BodyTextFirstIndent"/>
      </w:pPr>
      <w:r>
        <w:rPr>
          <w:color w:val="000000"/>
        </w:rPr>
        <w:t>The Supreme Court refused to read Clause 15 of Section 2 in a way that would render the specific prohibitions and procedures enumerated in Sections 9(a) and (b) superfluous:  “In view of the general exemption of bankrupts from arrest under section 9a and the carefully guarded exception made by section 9b as to those about to leave the district to avoid examination</w:t>
      </w:r>
      <w:r w:rsidR="008B54D4">
        <w:rPr>
          <w:color w:val="000000"/>
        </w:rPr>
        <w:t>,</w:t>
      </w:r>
      <w:r>
        <w:rPr>
          <w:color w:val="000000"/>
        </w:rPr>
        <w:t xml:space="preserve"> there is no support for petitioner</w:t>
      </w:r>
      <w:r w:rsidR="008B54D4">
        <w:rPr>
          <w:color w:val="000000"/>
        </w:rPr>
        <w:t>’</w:t>
      </w:r>
      <w:r>
        <w:rPr>
          <w:color w:val="000000"/>
        </w:rPr>
        <w:t>s contention that the general language of section 2(15) is a limitation upon section 9(b) or grants additional authority in respect of arrests of bankrupts</w:t>
      </w:r>
      <w:r w:rsidR="00FA79C1">
        <w:rPr>
          <w:color w:val="000000"/>
        </w:rPr>
        <w:t xml:space="preserve">.”  </w:t>
      </w:r>
      <w:r>
        <w:rPr>
          <w:i/>
          <w:iCs/>
          <w:color w:val="000000"/>
        </w:rPr>
        <w:t>D</w:t>
      </w:r>
      <w:r w:rsidR="006A227C">
        <w:rPr>
          <w:i/>
          <w:iCs/>
          <w:color w:val="000000"/>
        </w:rPr>
        <w:t xml:space="preserve">. </w:t>
      </w:r>
      <w:r>
        <w:rPr>
          <w:i/>
          <w:iCs/>
          <w:color w:val="000000"/>
        </w:rPr>
        <w:t>Ginsberg &amp; Sons</w:t>
      </w:r>
      <w:r w:rsidR="00E150C1">
        <w:rPr>
          <w:i/>
          <w:iCs/>
          <w:color w:val="000000"/>
        </w:rPr>
        <w:t xml:space="preserve"> v. </w:t>
      </w:r>
      <w:r>
        <w:rPr>
          <w:i/>
          <w:iCs/>
          <w:color w:val="000000"/>
        </w:rPr>
        <w:t>Popkin</w:t>
      </w:r>
      <w:r w:rsidR="008B54D4">
        <w:rPr>
          <w:color w:val="000000"/>
        </w:rPr>
        <w:t>,</w:t>
      </w:r>
      <w:r>
        <w:rPr>
          <w:color w:val="000000"/>
        </w:rPr>
        <w:t xml:space="preserve"> </w:t>
      </w:r>
      <w:hyperlink r:id="rId242" w:history="1">
        <w:r>
          <w:rPr>
            <w:color w:val="000000"/>
          </w:rPr>
          <w:t xml:space="preserve">285 </w:t>
        </w:r>
        <w:r w:rsidR="002F10FB">
          <w:rPr>
            <w:color w:val="000000"/>
          </w:rPr>
          <w:t xml:space="preserve">U.S. </w:t>
        </w:r>
        <w:r>
          <w:rPr>
            <w:color w:val="000000"/>
          </w:rPr>
          <w:t>at 207</w:t>
        </w:r>
      </w:hyperlink>
      <w:r>
        <w:rPr>
          <w:color w:val="000000"/>
        </w:rPr>
        <w:t>-08.</w:t>
      </w:r>
    </w:p>
    <w:p w14:paraId="6A5C7DD0" w14:textId="70C4F506" w:rsidR="00A77BBD" w:rsidRDefault="00A77BBD" w:rsidP="00A77BBD">
      <w:pPr>
        <w:pStyle w:val="BodyTextFirstIndent"/>
      </w:pPr>
      <w:r>
        <w:rPr>
          <w:color w:val="000000"/>
        </w:rPr>
        <w:t>The Supreme Court</w:t>
      </w:r>
      <w:r w:rsidR="008B54D4">
        <w:rPr>
          <w:color w:val="000000"/>
        </w:rPr>
        <w:t>’</w:t>
      </w:r>
      <w:r>
        <w:rPr>
          <w:color w:val="000000"/>
        </w:rPr>
        <w:t>s holdings in these cases old and new are instructive in the present context</w:t>
      </w:r>
      <w:r w:rsidR="006A227C">
        <w:rPr>
          <w:color w:val="000000"/>
        </w:rPr>
        <w:t xml:space="preserve">.  </w:t>
      </w:r>
      <w:r>
        <w:rPr>
          <w:color w:val="000000"/>
        </w:rPr>
        <w:t>Here</w:t>
      </w:r>
      <w:r w:rsidR="008B54D4">
        <w:rPr>
          <w:color w:val="000000"/>
        </w:rPr>
        <w:t>,</w:t>
      </w:r>
      <w:r>
        <w:rPr>
          <w:color w:val="000000"/>
        </w:rPr>
        <w:t xml:space="preserve"> Debtors and their allies seek to apply general provisions - </w:t>
      </w:r>
      <w:r w:rsidR="00DC3AE7">
        <w:rPr>
          <w:color w:val="000000"/>
        </w:rPr>
        <w:t xml:space="preserve">Bankruptcy Code </w:t>
      </w:r>
      <w:r w:rsidR="00216346">
        <w:rPr>
          <w:color w:val="000000"/>
        </w:rPr>
        <w:t>§§</w:t>
      </w:r>
      <w:r>
        <w:rPr>
          <w:color w:val="000000"/>
        </w:rPr>
        <w:t xml:space="preserve">105(a) and 1123(a)(5) and (b)(6) - to justify expanding the express authority conferred by Congress under </w:t>
      </w:r>
      <w:r w:rsidR="00216346">
        <w:rPr>
          <w:color w:val="000000"/>
        </w:rPr>
        <w:t xml:space="preserve">Section </w:t>
      </w:r>
      <w:r>
        <w:rPr>
          <w:color w:val="000000"/>
        </w:rPr>
        <w:t>524(g) into a situation that is manifestly not comprehended by that statute</w:t>
      </w:r>
      <w:r w:rsidR="006A227C">
        <w:rPr>
          <w:color w:val="000000"/>
        </w:rPr>
        <w:t xml:space="preserve">.  </w:t>
      </w:r>
      <w:r>
        <w:rPr>
          <w:color w:val="000000"/>
        </w:rPr>
        <w:t>Because the specific controls the general</w:t>
      </w:r>
      <w:r w:rsidR="008B54D4">
        <w:rPr>
          <w:color w:val="000000"/>
        </w:rPr>
        <w:t>,</w:t>
      </w:r>
      <w:r>
        <w:rPr>
          <w:color w:val="000000"/>
        </w:rPr>
        <w:t xml:space="preserve"> that reliance is misplaced.</w:t>
      </w:r>
    </w:p>
    <w:p w14:paraId="7953724B" w14:textId="1982EB1F" w:rsidR="00A77BBD" w:rsidRDefault="00A77BBD" w:rsidP="00A77BBD">
      <w:pPr>
        <w:pStyle w:val="BodyTextFirstIndent"/>
      </w:pPr>
      <w:r>
        <w:rPr>
          <w:color w:val="000000"/>
        </w:rPr>
        <w:t>For all these reasons</w:t>
      </w:r>
      <w:r w:rsidR="008B54D4">
        <w:rPr>
          <w:color w:val="000000"/>
        </w:rPr>
        <w:t>,</w:t>
      </w:r>
      <w:r>
        <w:rPr>
          <w:color w:val="000000"/>
        </w:rPr>
        <w:t xml:space="preserve"> I cannot conclude that Congressional “silence” should be deemed consent to an expansion of Section 524(g)</w:t>
      </w:r>
      <w:r w:rsidR="006A227C">
        <w:rPr>
          <w:color w:val="000000"/>
        </w:rPr>
        <w:t xml:space="preserve">.  </w:t>
      </w:r>
      <w:r>
        <w:rPr>
          <w:color w:val="000000"/>
        </w:rPr>
        <w:t>In fact</w:t>
      </w:r>
      <w:r w:rsidR="008B54D4">
        <w:rPr>
          <w:color w:val="000000"/>
        </w:rPr>
        <w:t>,</w:t>
      </w:r>
      <w:r>
        <w:rPr>
          <w:color w:val="000000"/>
        </w:rPr>
        <w:t xml:space="preserve"> I do not believe that Congress has been silent at all</w:t>
      </w:r>
      <w:r w:rsidR="006A227C">
        <w:rPr>
          <w:color w:val="000000"/>
        </w:rPr>
        <w:t xml:space="preserve">.  </w:t>
      </w:r>
      <w:r>
        <w:rPr>
          <w:color w:val="000000"/>
        </w:rPr>
        <w:t>But to the extent it has</w:t>
      </w:r>
      <w:r w:rsidR="008B54D4">
        <w:rPr>
          <w:color w:val="000000"/>
        </w:rPr>
        <w:t>,</w:t>
      </w:r>
      <w:r>
        <w:rPr>
          <w:color w:val="000000"/>
        </w:rPr>
        <w:t xml:space="preserve"> its silence supports the Appell</w:t>
      </w:r>
      <w:r w:rsidR="00DC3AE7">
        <w:rPr>
          <w:color w:val="000000"/>
        </w:rPr>
        <w:t>ees</w:t>
      </w:r>
      <w:r w:rsidR="008B54D4">
        <w:rPr>
          <w:color w:val="000000"/>
        </w:rPr>
        <w:t>’</w:t>
      </w:r>
      <w:r>
        <w:rPr>
          <w:color w:val="000000"/>
        </w:rPr>
        <w:t xml:space="preserve"> position</w:t>
      </w:r>
      <w:r w:rsidR="008B54D4">
        <w:rPr>
          <w:color w:val="000000"/>
        </w:rPr>
        <w:t>,</w:t>
      </w:r>
      <w:r>
        <w:rPr>
          <w:color w:val="000000"/>
        </w:rPr>
        <w:t xml:space="preserve"> not the </w:t>
      </w:r>
      <w:r w:rsidR="00DC3AE7">
        <w:rPr>
          <w:color w:val="000000"/>
        </w:rPr>
        <w:t>Appellants</w:t>
      </w:r>
      <w:r w:rsidR="008B54D4">
        <w:rPr>
          <w:color w:val="000000"/>
        </w:rPr>
        <w:t>’</w:t>
      </w:r>
      <w:r>
        <w:rPr>
          <w:color w:val="000000"/>
        </w:rPr>
        <w:t>.</w:t>
      </w:r>
    </w:p>
    <w:p w14:paraId="1154B05E" w14:textId="678455F0" w:rsidR="00A77BBD" w:rsidRDefault="00A77BBD" w:rsidP="00A77BBD">
      <w:pPr>
        <w:pStyle w:val="BodyTextFirstIndent"/>
      </w:pPr>
      <w:r>
        <w:rPr>
          <w:b/>
          <w:bCs/>
          <w:color w:val="000000"/>
          <w:u w:val="single"/>
        </w:rPr>
        <w:t>Residual Authority</w:t>
      </w:r>
      <w:r w:rsidRPr="00581AE0">
        <w:rPr>
          <w:color w:val="000000"/>
        </w:rPr>
        <w:t xml:space="preserve">:  </w:t>
      </w:r>
      <w:r>
        <w:rPr>
          <w:color w:val="000000"/>
        </w:rPr>
        <w:t>Finally</w:t>
      </w:r>
      <w:r w:rsidR="008B54D4">
        <w:rPr>
          <w:color w:val="000000"/>
        </w:rPr>
        <w:t>,</w:t>
      </w:r>
      <w:r>
        <w:rPr>
          <w:color w:val="000000"/>
        </w:rPr>
        <w:t xml:space="preserve"> I turn to the concept of “residual statutory authority</w:t>
      </w:r>
      <w:r w:rsidR="00FA79C1">
        <w:rPr>
          <w:color w:val="000000"/>
        </w:rPr>
        <w:t xml:space="preserve">.”  </w:t>
      </w:r>
      <w:r>
        <w:rPr>
          <w:color w:val="000000"/>
        </w:rPr>
        <w:t>In these circumstances</w:t>
      </w:r>
      <w:r w:rsidR="008B54D4">
        <w:rPr>
          <w:color w:val="000000"/>
        </w:rPr>
        <w:t>,</w:t>
      </w:r>
      <w:r>
        <w:rPr>
          <w:color w:val="000000"/>
        </w:rPr>
        <w:t xml:space="preserve"> I conclude that such authority simply does not exist.</w:t>
      </w:r>
    </w:p>
    <w:p w14:paraId="78FEC935" w14:textId="2EB1F770" w:rsidR="00A77BBD" w:rsidRDefault="00A77BBD" w:rsidP="00A77BBD">
      <w:pPr>
        <w:pStyle w:val="BodyTextFirstIndent"/>
      </w:pPr>
      <w:r>
        <w:rPr>
          <w:color w:val="000000"/>
        </w:rPr>
        <w:t xml:space="preserve">Judge </w:t>
      </w:r>
      <w:r w:rsidR="00E82FD6">
        <w:rPr>
          <w:color w:val="000000"/>
        </w:rPr>
        <w:t>Wains</w:t>
      </w:r>
      <w:r>
        <w:rPr>
          <w:color w:val="000000"/>
        </w:rPr>
        <w:t xml:space="preserve"> framed the question before him as</w:t>
      </w:r>
      <w:r w:rsidR="008B54D4">
        <w:rPr>
          <w:color w:val="000000"/>
        </w:rPr>
        <w:t>,</w:t>
      </w:r>
      <w:r>
        <w:rPr>
          <w:color w:val="000000"/>
        </w:rPr>
        <w:t xml:space="preserve"> “whether the court has statutory </w:t>
      </w:r>
      <w:r>
        <w:rPr>
          <w:i/>
          <w:iCs/>
          <w:color w:val="000000"/>
        </w:rPr>
        <w:t>or other power</w:t>
      </w:r>
      <w:r>
        <w:rPr>
          <w:color w:val="000000"/>
        </w:rPr>
        <w:t xml:space="preserve"> to confirm a plan with a third-party claim release</w:t>
      </w:r>
      <w:r w:rsidR="008B54D4">
        <w:rPr>
          <w:color w:val="000000"/>
        </w:rPr>
        <w:t>,</w:t>
      </w:r>
      <w:r>
        <w:rPr>
          <w:color w:val="000000"/>
        </w:rPr>
        <w:t>” and</w:t>
      </w:r>
      <w:r w:rsidR="008B54D4">
        <w:rPr>
          <w:color w:val="000000"/>
        </w:rPr>
        <w:t>,</w:t>
      </w:r>
      <w:r>
        <w:rPr>
          <w:color w:val="000000"/>
        </w:rPr>
        <w:t xml:space="preserve"> if so</w:t>
      </w:r>
      <w:r w:rsidR="008B54D4">
        <w:rPr>
          <w:color w:val="000000"/>
        </w:rPr>
        <w:t>,</w:t>
      </w:r>
      <w:r>
        <w:rPr>
          <w:color w:val="000000"/>
        </w:rPr>
        <w:t xml:space="preserve"> “what is the statutory </w:t>
      </w:r>
      <w:r>
        <w:rPr>
          <w:i/>
          <w:iCs/>
          <w:color w:val="000000"/>
        </w:rPr>
        <w:t>or other source of power</w:t>
      </w:r>
      <w:r>
        <w:rPr>
          <w:color w:val="000000"/>
        </w:rPr>
        <w:t xml:space="preserve"> for such a release?”</w:t>
      </w:r>
      <w:r w:rsidR="00581AE0">
        <w:rPr>
          <w:color w:val="000000"/>
        </w:rPr>
        <w:t xml:space="preserve"> </w:t>
      </w:r>
      <w:r>
        <w:rPr>
          <w:color w:val="000000"/>
        </w:rPr>
        <w:t xml:space="preserve"> </w:t>
      </w:r>
      <w:r>
        <w:rPr>
          <w:i/>
          <w:iCs/>
          <w:color w:val="000000"/>
        </w:rPr>
        <w:t xml:space="preserve">In re </w:t>
      </w:r>
      <w:r w:rsidR="006239B5">
        <w:rPr>
          <w:i/>
          <w:iCs/>
          <w:color w:val="000000"/>
        </w:rPr>
        <w:t>Oxy</w:t>
      </w:r>
      <w:r>
        <w:rPr>
          <w:i/>
          <w:iCs/>
          <w:color w:val="000000"/>
        </w:rPr>
        <w:t xml:space="preserve"> Pharma L.P</w:t>
      </w:r>
      <w:r>
        <w:rPr>
          <w:color w:val="000000"/>
        </w:rPr>
        <w:t>.</w:t>
      </w:r>
      <w:r w:rsidR="008B54D4">
        <w:rPr>
          <w:color w:val="000000"/>
        </w:rPr>
        <w:t>,</w:t>
      </w:r>
      <w:r>
        <w:rPr>
          <w:color w:val="000000"/>
        </w:rPr>
        <w:t xml:space="preserve"> </w:t>
      </w:r>
      <w:hyperlink r:id="rId243" w:history="1">
        <w:r>
          <w:rPr>
            <w:color w:val="000000"/>
          </w:rPr>
          <w:t>2021 WL 4240974</w:t>
        </w:r>
      </w:hyperlink>
      <w:r w:rsidR="008B54D4">
        <w:rPr>
          <w:color w:val="000000"/>
        </w:rPr>
        <w:t>,</w:t>
      </w:r>
      <w:r>
        <w:rPr>
          <w:color w:val="000000"/>
        </w:rPr>
        <w:t xml:space="preserve"> at *40</w:t>
      </w:r>
      <w:r w:rsidR="008B54D4">
        <w:rPr>
          <w:color w:val="000000"/>
        </w:rPr>
        <w:t>,</w:t>
      </w:r>
      <w:r>
        <w:rPr>
          <w:color w:val="000000"/>
        </w:rPr>
        <w:t xml:space="preserve"> *43 (emphasis added)</w:t>
      </w:r>
      <w:r w:rsidR="006A227C">
        <w:rPr>
          <w:color w:val="000000"/>
        </w:rPr>
        <w:t xml:space="preserve">.  </w:t>
      </w:r>
      <w:r>
        <w:rPr>
          <w:color w:val="000000"/>
        </w:rPr>
        <w:t>He identified the “other source of power” as the residual power of bankruptcy courts.</w:t>
      </w:r>
    </w:p>
    <w:p w14:paraId="6179E5E5" w14:textId="09BF9022" w:rsidR="00A77BBD" w:rsidRDefault="00A77BBD" w:rsidP="00A77BBD">
      <w:pPr>
        <w:pStyle w:val="BodyTextFirstIndent"/>
      </w:pPr>
      <w:r>
        <w:rPr>
          <w:color w:val="000000"/>
        </w:rPr>
        <w:t>But such power</w:t>
      </w:r>
      <w:r w:rsidR="008B54D4">
        <w:rPr>
          <w:color w:val="000000"/>
        </w:rPr>
        <w:t>,</w:t>
      </w:r>
      <w:r>
        <w:rPr>
          <w:color w:val="000000"/>
        </w:rPr>
        <w:t xml:space="preserve"> if it even exists</w:t>
      </w:r>
      <w:r w:rsidR="008B54D4">
        <w:rPr>
          <w:color w:val="000000"/>
        </w:rPr>
        <w:t>,</w:t>
      </w:r>
      <w:r>
        <w:rPr>
          <w:color w:val="000000"/>
        </w:rPr>
        <w:t xml:space="preserve"> is of no help where</w:t>
      </w:r>
      <w:r w:rsidR="008B54D4">
        <w:rPr>
          <w:color w:val="000000"/>
        </w:rPr>
        <w:t>,</w:t>
      </w:r>
      <w:r>
        <w:rPr>
          <w:color w:val="000000"/>
        </w:rPr>
        <w:t xml:space="preserve"> as here</w:t>
      </w:r>
      <w:r w:rsidR="008B54D4">
        <w:rPr>
          <w:color w:val="000000"/>
        </w:rPr>
        <w:t>,</w:t>
      </w:r>
      <w:r>
        <w:rPr>
          <w:color w:val="000000"/>
        </w:rPr>
        <w:t xml:space="preserve"> it is being exercised in contravention of specific provisions of the Bankruptcy Code.</w:t>
      </w:r>
    </w:p>
    <w:p w14:paraId="6112C5A4" w14:textId="3ED48AD0" w:rsidR="00A77BBD" w:rsidRDefault="00A77BBD" w:rsidP="00A77BBD">
      <w:pPr>
        <w:pStyle w:val="BodyTextFirstIndent"/>
      </w:pPr>
      <w:r>
        <w:rPr>
          <w:color w:val="000000"/>
        </w:rPr>
        <w:t>Debtors rely heavily on the Supreme Court</w:t>
      </w:r>
      <w:r w:rsidR="008B54D4">
        <w:rPr>
          <w:color w:val="000000"/>
        </w:rPr>
        <w:t>’</w:t>
      </w:r>
      <w:r>
        <w:rPr>
          <w:color w:val="000000"/>
        </w:rPr>
        <w:t xml:space="preserve">s decision in </w:t>
      </w:r>
      <w:r>
        <w:rPr>
          <w:i/>
          <w:iCs/>
          <w:color w:val="000000"/>
        </w:rPr>
        <w:t>In re Energy Resources Co</w:t>
      </w:r>
      <w:r w:rsidR="008B54D4">
        <w:rPr>
          <w:color w:val="000000"/>
        </w:rPr>
        <w:t>,</w:t>
      </w:r>
      <w:r>
        <w:rPr>
          <w:color w:val="000000"/>
        </w:rPr>
        <w:t xml:space="preserve"> </w:t>
      </w:r>
      <w:hyperlink r:id="rId244" w:history="1">
        <w:r>
          <w:rPr>
            <w:color w:val="000000"/>
          </w:rPr>
          <w:t>495</w:t>
        </w:r>
      </w:hyperlink>
      <w:r w:rsidR="00581AE0">
        <w:rPr>
          <w:color w:val="000000"/>
        </w:rPr>
        <w:t xml:space="preserve"> </w:t>
      </w:r>
      <w:hyperlink r:id="rId245" w:history="1">
        <w:r w:rsidR="002F10FB">
          <w:rPr>
            <w:color w:val="000000"/>
          </w:rPr>
          <w:t xml:space="preserve">U.S. </w:t>
        </w:r>
        <w:r>
          <w:rPr>
            <w:color w:val="000000"/>
          </w:rPr>
          <w:t>545</w:t>
        </w:r>
      </w:hyperlink>
      <w:r>
        <w:rPr>
          <w:color w:val="000000"/>
        </w:rPr>
        <w:t xml:space="preserve"> (1990) for the proposition that a bankruptcy court has “residual authority” to approve reorganization plans that includes all “necessary and appropriate” provisions</w:t>
      </w:r>
      <w:r w:rsidR="008B54D4">
        <w:rPr>
          <w:color w:val="000000"/>
        </w:rPr>
        <w:t>,</w:t>
      </w:r>
      <w:r>
        <w:rPr>
          <w:color w:val="000000"/>
        </w:rPr>
        <w:t xml:space="preserve"> as long as those provisions are not inconsistent with title 11</w:t>
      </w:r>
      <w:r w:rsidR="006A227C">
        <w:rPr>
          <w:color w:val="000000"/>
        </w:rPr>
        <w:t xml:space="preserve">.  </w:t>
      </w:r>
      <w:r>
        <w:rPr>
          <w:color w:val="000000"/>
        </w:rPr>
        <w:t>In that case</w:t>
      </w:r>
      <w:r w:rsidR="008B54D4">
        <w:rPr>
          <w:color w:val="000000"/>
        </w:rPr>
        <w:t>,</w:t>
      </w:r>
      <w:r>
        <w:rPr>
          <w:color w:val="000000"/>
        </w:rPr>
        <w:t xml:space="preserve"> the Court concluded that two bankruptcy courts - which were forbidden by the Bankruptcy Code from discharging a tax debt</w:t>
      </w:r>
      <w:r>
        <w:rPr>
          <w:rStyle w:val="FootnoteReference"/>
          <w:rFonts w:eastAsia="Times New Roman" w:cs="Times New Roman"/>
          <w:color w:val="000000"/>
          <w:vertAlign w:val="superscript"/>
        </w:rPr>
        <w:footnoteReference w:id="41"/>
      </w:r>
      <w:r>
        <w:rPr>
          <w:color w:val="000000"/>
        </w:rPr>
        <w:t xml:space="preserve"> and required not to confirm a plan unless satisfied that the IRS would in all likelihood be able to collect taxes owed within six years</w:t>
      </w:r>
      <w:r>
        <w:rPr>
          <w:rStyle w:val="FootnoteReference"/>
          <w:rFonts w:eastAsia="Times New Roman" w:cs="Times New Roman"/>
          <w:color w:val="000000"/>
          <w:vertAlign w:val="superscript"/>
        </w:rPr>
        <w:footnoteReference w:id="42"/>
      </w:r>
      <w:r>
        <w:rPr>
          <w:color w:val="000000"/>
        </w:rPr>
        <w:t xml:space="preserve"> - had not “transgressed one of the limitations on their equitable power” by directing in a plan of reorganization that certain tax payments be credited in the first instance to so-called “trust fund” tax debt</w:t>
      </w:r>
      <w:r w:rsidR="008B54D4">
        <w:rPr>
          <w:color w:val="000000"/>
        </w:rPr>
        <w:t>,</w:t>
      </w:r>
      <w:r>
        <w:rPr>
          <w:color w:val="000000"/>
        </w:rPr>
        <w:t xml:space="preserve"> and only when that debt was satisfied to so-called “non-trust fund” tax debt</w:t>
      </w:r>
      <w:r w:rsidR="006A227C">
        <w:rPr>
          <w:color w:val="000000"/>
        </w:rPr>
        <w:t xml:space="preserve">.  </w:t>
      </w:r>
      <w:r>
        <w:rPr>
          <w:i/>
          <w:iCs/>
          <w:color w:val="000000"/>
        </w:rPr>
        <w:t>In re Energy Resources Co</w:t>
      </w:r>
      <w:r>
        <w:rPr>
          <w:color w:val="000000"/>
        </w:rPr>
        <w:t>.</w:t>
      </w:r>
      <w:r w:rsidR="008B54D4">
        <w:rPr>
          <w:color w:val="000000"/>
        </w:rPr>
        <w:t>,</w:t>
      </w:r>
      <w:r>
        <w:rPr>
          <w:color w:val="000000"/>
        </w:rPr>
        <w:t xml:space="preserve"> </w:t>
      </w:r>
      <w:hyperlink r:id="rId246" w:history="1">
        <w:r>
          <w:rPr>
            <w:color w:val="000000"/>
          </w:rPr>
          <w:t xml:space="preserve">495 </w:t>
        </w:r>
        <w:r w:rsidR="002F10FB">
          <w:rPr>
            <w:color w:val="000000"/>
          </w:rPr>
          <w:t xml:space="preserve">U.S. </w:t>
        </w:r>
        <w:r>
          <w:rPr>
            <w:color w:val="000000"/>
          </w:rPr>
          <w:t>499-50</w:t>
        </w:r>
      </w:hyperlink>
      <w:r w:rsidR="006A227C">
        <w:rPr>
          <w:color w:val="000000"/>
        </w:rPr>
        <w:t xml:space="preserve">.  </w:t>
      </w:r>
      <w:r>
        <w:rPr>
          <w:color w:val="000000"/>
        </w:rPr>
        <w:t>Trust fund tax debt is guaranteed by third parties; an order directing that the guaranteed debt be paid first meant that if there were any unpaid taxes at the end of the plan period</w:t>
      </w:r>
      <w:r w:rsidR="008B54D4">
        <w:rPr>
          <w:color w:val="000000"/>
        </w:rPr>
        <w:t>,</w:t>
      </w:r>
      <w:r>
        <w:rPr>
          <w:color w:val="000000"/>
        </w:rPr>
        <w:t xml:space="preserve"> the IRS could probably not look to third parties for payment</w:t>
      </w:r>
      <w:r w:rsidR="006A227C">
        <w:rPr>
          <w:color w:val="000000"/>
        </w:rPr>
        <w:t xml:space="preserve">.  </w:t>
      </w:r>
      <w:r>
        <w:rPr>
          <w:color w:val="000000"/>
        </w:rPr>
        <w:t>The IRS argued that this provision of the plan was inconsistent with the Bankruptcy Code</w:t>
      </w:r>
      <w:r w:rsidR="008B54D4">
        <w:rPr>
          <w:color w:val="000000"/>
        </w:rPr>
        <w:t>,</w:t>
      </w:r>
      <w:r>
        <w:rPr>
          <w:color w:val="000000"/>
        </w:rPr>
        <w:t xml:space="preserve"> because requiring the debtor to pay non-trust fund taxes first would give the IRS a greater chance of recovering 100 cents on the dollar.</w:t>
      </w:r>
    </w:p>
    <w:p w14:paraId="28350ADB" w14:textId="7AA47E96" w:rsidR="00A77BBD" w:rsidRDefault="00A77BBD" w:rsidP="00A77BBD">
      <w:pPr>
        <w:pStyle w:val="BodyTextFirstIndent"/>
      </w:pPr>
      <w:r>
        <w:rPr>
          <w:color w:val="000000"/>
        </w:rPr>
        <w:t xml:space="preserve">But the Supreme Court ruled that the Bankruptcy Code did not </w:t>
      </w:r>
      <w:r w:rsidR="00DC3AE7">
        <w:rPr>
          <w:color w:val="000000"/>
        </w:rPr>
        <w:t xml:space="preserve">expressly </w:t>
      </w:r>
      <w:r>
        <w:rPr>
          <w:color w:val="000000"/>
        </w:rPr>
        <w:t>require that a plan of reorganization be structured so that the unsecured tax debt was paid first</w:t>
      </w:r>
      <w:r w:rsidR="006A227C">
        <w:rPr>
          <w:color w:val="000000"/>
        </w:rPr>
        <w:t xml:space="preserve">.  </w:t>
      </w:r>
      <w:r>
        <w:rPr>
          <w:color w:val="000000"/>
        </w:rPr>
        <w:t>The bankruptcy court had found (as required by the Bankruptcy Code) that the plan of reorganization proposed by the debtors was likely to succeed</w:t>
      </w:r>
      <w:r w:rsidR="00DC3AE7">
        <w:rPr>
          <w:color w:val="000000"/>
        </w:rPr>
        <w:t xml:space="preserve"> and </w:t>
      </w:r>
      <w:r w:rsidR="002A28E6">
        <w:rPr>
          <w:color w:val="000000"/>
        </w:rPr>
        <w:t>w</w:t>
      </w:r>
      <w:r w:rsidR="0000304C">
        <w:rPr>
          <w:color w:val="000000"/>
        </w:rPr>
        <w:t>as</w:t>
      </w:r>
      <w:r w:rsidR="002A28E6">
        <w:rPr>
          <w:color w:val="000000"/>
        </w:rPr>
        <w:t xml:space="preserve"> implemented properly</w:t>
      </w:r>
      <w:r w:rsidR="006A227C">
        <w:rPr>
          <w:color w:val="000000"/>
        </w:rPr>
        <w:t xml:space="preserve">.  </w:t>
      </w:r>
      <w:r>
        <w:rPr>
          <w:color w:val="000000"/>
        </w:rPr>
        <w:t>It further found that</w:t>
      </w:r>
      <w:r w:rsidR="008B54D4">
        <w:rPr>
          <w:color w:val="000000"/>
        </w:rPr>
        <w:t>,</w:t>
      </w:r>
      <w:r>
        <w:rPr>
          <w:color w:val="000000"/>
        </w:rPr>
        <w:t xml:space="preserve"> if the plan did succeed</w:t>
      </w:r>
      <w:r w:rsidR="008B54D4">
        <w:rPr>
          <w:color w:val="000000"/>
        </w:rPr>
        <w:t>,</w:t>
      </w:r>
      <w:r>
        <w:rPr>
          <w:color w:val="000000"/>
        </w:rPr>
        <w:t xml:space="preserve"> all taxes would be fully paid within six years</w:t>
      </w:r>
      <w:r w:rsidR="006A227C">
        <w:rPr>
          <w:color w:val="000000"/>
        </w:rPr>
        <w:t xml:space="preserve">.  </w:t>
      </w:r>
      <w:r>
        <w:rPr>
          <w:color w:val="000000"/>
        </w:rPr>
        <w:t>The Bankruptcy Code required nothing more</w:t>
      </w:r>
      <w:r w:rsidR="006A227C">
        <w:rPr>
          <w:color w:val="000000"/>
        </w:rPr>
        <w:t xml:space="preserve">.  </w:t>
      </w:r>
      <w:r>
        <w:rPr>
          <w:color w:val="000000"/>
        </w:rPr>
        <w:t>Therefore</w:t>
      </w:r>
      <w:r w:rsidR="008B54D4">
        <w:rPr>
          <w:color w:val="000000"/>
        </w:rPr>
        <w:t>,</w:t>
      </w:r>
      <w:r>
        <w:rPr>
          <w:color w:val="000000"/>
        </w:rPr>
        <w:t xml:space="preserve"> the order directing that tax payments be credited first to back taxes secured by the trust fund</w:t>
      </w:r>
      <w:r w:rsidR="008B54D4">
        <w:rPr>
          <w:color w:val="000000"/>
        </w:rPr>
        <w:t>,</w:t>
      </w:r>
      <w:r>
        <w:rPr>
          <w:color w:val="000000"/>
        </w:rPr>
        <w:t xml:space="preserve"> and then to unsecured back taxes</w:t>
      </w:r>
      <w:r w:rsidR="008B54D4">
        <w:rPr>
          <w:color w:val="000000"/>
        </w:rPr>
        <w:t>,</w:t>
      </w:r>
      <w:r>
        <w:rPr>
          <w:color w:val="000000"/>
        </w:rPr>
        <w:t xml:space="preserve"> was not inconsistent with any applicable provision of title 11</w:t>
      </w:r>
      <w:r w:rsidR="006A227C">
        <w:rPr>
          <w:color w:val="000000"/>
        </w:rPr>
        <w:t xml:space="preserve">.  </w:t>
      </w:r>
      <w:r>
        <w:rPr>
          <w:color w:val="000000"/>
        </w:rPr>
        <w:t>All the substantive guarantees that the Bankruptcy Code afforded to the IRS were baked into the court</w:t>
      </w:r>
      <w:r w:rsidR="008B54D4">
        <w:rPr>
          <w:color w:val="000000"/>
        </w:rPr>
        <w:t>’</w:t>
      </w:r>
      <w:r>
        <w:rPr>
          <w:color w:val="000000"/>
        </w:rPr>
        <w:t>s approval of the plan.</w:t>
      </w:r>
    </w:p>
    <w:p w14:paraId="76E6DA58" w14:textId="77777777" w:rsidR="0000304C" w:rsidRDefault="00A77BBD" w:rsidP="00A77BBD">
      <w:pPr>
        <w:pStyle w:val="BodyTextFirstIndent"/>
        <w:rPr>
          <w:color w:val="000000"/>
        </w:rPr>
      </w:pPr>
      <w:r>
        <w:rPr>
          <w:i/>
          <w:iCs/>
          <w:color w:val="000000"/>
        </w:rPr>
        <w:t>Energy Resources</w:t>
      </w:r>
      <w:r>
        <w:rPr>
          <w:color w:val="000000"/>
        </w:rPr>
        <w:t xml:space="preserve"> </w:t>
      </w:r>
      <w:r w:rsidR="002A28E6">
        <w:rPr>
          <w:color w:val="000000"/>
        </w:rPr>
        <w:t>did not</w:t>
      </w:r>
      <w:r>
        <w:rPr>
          <w:color w:val="000000"/>
        </w:rPr>
        <w:t xml:space="preserve"> authorize the Bankruptcy </w:t>
      </w:r>
      <w:r w:rsidR="002A28E6">
        <w:rPr>
          <w:color w:val="000000"/>
        </w:rPr>
        <w:t>Court’s</w:t>
      </w:r>
      <w:r>
        <w:rPr>
          <w:color w:val="000000"/>
        </w:rPr>
        <w:t xml:space="preserve"> approval of the Section 10.7 Shareholder Release under any “residual power” theory</w:t>
      </w:r>
      <w:r w:rsidR="006A227C">
        <w:rPr>
          <w:color w:val="000000"/>
        </w:rPr>
        <w:t xml:space="preserve">.  </w:t>
      </w:r>
      <w:r>
        <w:rPr>
          <w:color w:val="000000"/>
        </w:rPr>
        <w:t xml:space="preserve">Just two years prior to the </w:t>
      </w:r>
      <w:r>
        <w:rPr>
          <w:i/>
          <w:iCs/>
          <w:color w:val="000000"/>
        </w:rPr>
        <w:t>In re Energy Resources</w:t>
      </w:r>
      <w:r>
        <w:rPr>
          <w:color w:val="000000"/>
        </w:rPr>
        <w:t xml:space="preserve"> decision</w:t>
      </w:r>
      <w:r w:rsidR="008B54D4">
        <w:rPr>
          <w:color w:val="000000"/>
        </w:rPr>
        <w:t>,</w:t>
      </w:r>
      <w:r>
        <w:rPr>
          <w:color w:val="000000"/>
        </w:rPr>
        <w:t xml:space="preserve"> the same Supreme Court - made up of the same nine justices - held that the bankruptcy court</w:t>
      </w:r>
      <w:r w:rsidR="008B54D4">
        <w:rPr>
          <w:color w:val="000000"/>
        </w:rPr>
        <w:t>’</w:t>
      </w:r>
      <w:r>
        <w:rPr>
          <w:color w:val="000000"/>
        </w:rPr>
        <w:t>s residual equitable authority was bounded by the provisions of the Bankruptcy Code</w:t>
      </w:r>
      <w:r w:rsidR="006A227C">
        <w:rPr>
          <w:color w:val="000000"/>
        </w:rPr>
        <w:t xml:space="preserve">.  </w:t>
      </w:r>
      <w:r>
        <w:rPr>
          <w:i/>
          <w:iCs/>
          <w:color w:val="000000"/>
        </w:rPr>
        <w:t>Norwest Bank Worthington</w:t>
      </w:r>
      <w:r w:rsidR="00E150C1">
        <w:rPr>
          <w:i/>
          <w:iCs/>
          <w:color w:val="000000"/>
        </w:rPr>
        <w:t xml:space="preserve"> v. </w:t>
      </w:r>
      <w:r>
        <w:rPr>
          <w:i/>
          <w:iCs/>
          <w:color w:val="000000"/>
        </w:rPr>
        <w:t>Ahlers</w:t>
      </w:r>
      <w:r w:rsidR="008B54D4">
        <w:rPr>
          <w:color w:val="000000"/>
        </w:rPr>
        <w:t>,</w:t>
      </w:r>
      <w:r>
        <w:rPr>
          <w:color w:val="000000"/>
        </w:rPr>
        <w:t xml:space="preserve"> </w:t>
      </w:r>
      <w:hyperlink r:id="rId247" w:history="1">
        <w:r>
          <w:rPr>
            <w:color w:val="000000"/>
          </w:rPr>
          <w:t xml:space="preserve">485 </w:t>
        </w:r>
        <w:r w:rsidR="002F10FB">
          <w:rPr>
            <w:color w:val="000000"/>
          </w:rPr>
          <w:t xml:space="preserve">U.S. </w:t>
        </w:r>
        <w:r>
          <w:rPr>
            <w:color w:val="000000"/>
          </w:rPr>
          <w:t>197</w:t>
        </w:r>
        <w:r w:rsidR="008B54D4">
          <w:rPr>
            <w:color w:val="000000"/>
          </w:rPr>
          <w:t>,</w:t>
        </w:r>
        <w:r>
          <w:rPr>
            <w:color w:val="000000"/>
          </w:rPr>
          <w:t xml:space="preserve"> 206</w:t>
        </w:r>
      </w:hyperlink>
      <w:r>
        <w:rPr>
          <w:color w:val="000000"/>
        </w:rPr>
        <w:t xml:space="preserve"> (1988) (holding “whatever equitable powers remain in the bankruptcy courts must and can only be exercised within the confines of the Bankruptcy Code”)</w:t>
      </w:r>
      <w:r w:rsidR="006A227C">
        <w:rPr>
          <w:color w:val="000000"/>
        </w:rPr>
        <w:t xml:space="preserve">.  </w:t>
      </w:r>
    </w:p>
    <w:p w14:paraId="36E1DFAC" w14:textId="77777777" w:rsidR="0000304C" w:rsidRDefault="00A77BBD" w:rsidP="00A77BBD">
      <w:pPr>
        <w:pStyle w:val="BodyTextFirstIndent"/>
        <w:rPr>
          <w:color w:val="000000"/>
        </w:rPr>
      </w:pPr>
      <w:r>
        <w:rPr>
          <w:i/>
          <w:iCs/>
          <w:color w:val="000000"/>
        </w:rPr>
        <w:t>Energy Resources</w:t>
      </w:r>
      <w:r>
        <w:rPr>
          <w:color w:val="000000"/>
        </w:rPr>
        <w:t xml:space="preserve"> is consistent with this principle</w:t>
      </w:r>
      <w:r w:rsidR="006A227C">
        <w:rPr>
          <w:color w:val="000000"/>
        </w:rPr>
        <w:t xml:space="preserve">. </w:t>
      </w:r>
      <w:r w:rsidR="002A28E6">
        <w:rPr>
          <w:color w:val="000000"/>
        </w:rPr>
        <w:t>Where</w:t>
      </w:r>
      <w:r w:rsidR="006A227C">
        <w:rPr>
          <w:color w:val="000000"/>
        </w:rPr>
        <w:t xml:space="preserve"> </w:t>
      </w:r>
      <w:r w:rsidR="002A28E6">
        <w:rPr>
          <w:color w:val="000000"/>
        </w:rPr>
        <w:t>C</w:t>
      </w:r>
      <w:r>
        <w:rPr>
          <w:color w:val="000000"/>
        </w:rPr>
        <w:t xml:space="preserve">ongress legislated a particular right </w:t>
      </w:r>
      <w:r w:rsidR="002A28E6">
        <w:rPr>
          <w:color w:val="000000"/>
        </w:rPr>
        <w:t>o</w:t>
      </w:r>
      <w:r w:rsidR="0000304C">
        <w:rPr>
          <w:color w:val="000000"/>
        </w:rPr>
        <w:t>r</w:t>
      </w:r>
      <w:r w:rsidR="002A28E6">
        <w:rPr>
          <w:color w:val="000000"/>
        </w:rPr>
        <w:t xml:space="preserve"> scheme in</w:t>
      </w:r>
      <w:r w:rsidR="0000304C">
        <w:rPr>
          <w:color w:val="000000"/>
        </w:rPr>
        <w:t>to</w:t>
      </w:r>
      <w:r w:rsidR="002A28E6">
        <w:rPr>
          <w:color w:val="000000"/>
        </w:rPr>
        <w:t xml:space="preserve"> </w:t>
      </w:r>
      <w:r>
        <w:rPr>
          <w:color w:val="000000"/>
        </w:rPr>
        <w:t>the Bankruptcy Code</w:t>
      </w:r>
      <w:r w:rsidR="002A28E6">
        <w:rPr>
          <w:color w:val="000000"/>
        </w:rPr>
        <w:t>,</w:t>
      </w:r>
      <w:r>
        <w:rPr>
          <w:color w:val="000000"/>
        </w:rPr>
        <w:t xml:space="preserve"> the Supreme Court</w:t>
      </w:r>
      <w:r w:rsidR="002A28E6">
        <w:rPr>
          <w:color w:val="000000"/>
        </w:rPr>
        <w:t xml:space="preserve"> has</w:t>
      </w:r>
      <w:r>
        <w:rPr>
          <w:color w:val="000000"/>
        </w:rPr>
        <w:t xml:space="preserve"> refused to allow lower courts to expand </w:t>
      </w:r>
      <w:r w:rsidR="002A28E6">
        <w:rPr>
          <w:color w:val="000000"/>
        </w:rPr>
        <w:t xml:space="preserve">or contravene </w:t>
      </w:r>
      <w:r>
        <w:rPr>
          <w:color w:val="000000"/>
        </w:rPr>
        <w:t>that</w:t>
      </w:r>
      <w:r w:rsidR="002A28E6">
        <w:rPr>
          <w:color w:val="000000"/>
        </w:rPr>
        <w:t xml:space="preserve"> express</w:t>
      </w:r>
      <w:r>
        <w:rPr>
          <w:color w:val="000000"/>
        </w:rPr>
        <w:t xml:space="preserve"> right</w:t>
      </w:r>
      <w:r w:rsidR="002A28E6">
        <w:rPr>
          <w:color w:val="000000"/>
        </w:rPr>
        <w:t xml:space="preserve"> or scheme</w:t>
      </w:r>
      <w:r w:rsidR="0000304C">
        <w:rPr>
          <w:color w:val="000000"/>
        </w:rPr>
        <w:t xml:space="preserve">. </w:t>
      </w:r>
      <w:r>
        <w:rPr>
          <w:color w:val="000000"/>
        </w:rPr>
        <w:t xml:space="preserve"> </w:t>
      </w:r>
      <w:r w:rsidR="002A28E6">
        <w:rPr>
          <w:color w:val="000000"/>
        </w:rPr>
        <w:t>“</w:t>
      </w:r>
      <w:r w:rsidR="0000304C">
        <w:rPr>
          <w:color w:val="000000"/>
        </w:rPr>
        <w:t>R</w:t>
      </w:r>
      <w:r w:rsidR="002A28E6">
        <w:rPr>
          <w:color w:val="000000"/>
        </w:rPr>
        <w:t xml:space="preserve">esidual power” </w:t>
      </w:r>
      <w:r w:rsidR="0000304C">
        <w:rPr>
          <w:color w:val="000000"/>
        </w:rPr>
        <w:t>only authorizes action</w:t>
      </w:r>
      <w:r>
        <w:rPr>
          <w:color w:val="000000"/>
        </w:rPr>
        <w:t xml:space="preserve"> </w:t>
      </w:r>
      <w:r w:rsidR="002A28E6">
        <w:rPr>
          <w:color w:val="000000"/>
        </w:rPr>
        <w:t>consistent</w:t>
      </w:r>
      <w:r>
        <w:rPr>
          <w:color w:val="000000"/>
        </w:rPr>
        <w:t xml:space="preserve"> with </w:t>
      </w:r>
      <w:r w:rsidR="002A28E6">
        <w:rPr>
          <w:color w:val="000000"/>
        </w:rPr>
        <w:t>express</w:t>
      </w:r>
      <w:r>
        <w:rPr>
          <w:color w:val="000000"/>
        </w:rPr>
        <w:t xml:space="preserve"> right</w:t>
      </w:r>
      <w:r w:rsidR="002A28E6">
        <w:rPr>
          <w:color w:val="000000"/>
        </w:rPr>
        <w:t>s and sc</w:t>
      </w:r>
      <w:r w:rsidR="0019610F">
        <w:rPr>
          <w:color w:val="000000"/>
        </w:rPr>
        <w:t>hemes found in the statute itself</w:t>
      </w:r>
      <w:r w:rsidR="006A227C">
        <w:rPr>
          <w:color w:val="000000"/>
        </w:rPr>
        <w:t xml:space="preserve">.  </w:t>
      </w:r>
    </w:p>
    <w:p w14:paraId="15EE4B14" w14:textId="666D2A4D" w:rsidR="00A77BBD" w:rsidRDefault="00A77BBD" w:rsidP="00A77BBD">
      <w:pPr>
        <w:pStyle w:val="BodyTextFirstIndent"/>
      </w:pPr>
      <w:r>
        <w:rPr>
          <w:color w:val="000000"/>
        </w:rPr>
        <w:t>In this case</w:t>
      </w:r>
      <w:r w:rsidR="008B54D4">
        <w:rPr>
          <w:color w:val="000000"/>
        </w:rPr>
        <w:t>,</w:t>
      </w:r>
      <w:r>
        <w:rPr>
          <w:color w:val="000000"/>
        </w:rPr>
        <w:t xml:space="preserve"> the Bankruptcy Code</w:t>
      </w:r>
      <w:r w:rsidR="0019610F">
        <w:rPr>
          <w:color w:val="000000"/>
        </w:rPr>
        <w:t xml:space="preserve"> does </w:t>
      </w:r>
      <w:r w:rsidR="0000304C">
        <w:rPr>
          <w:color w:val="000000"/>
        </w:rPr>
        <w:t xml:space="preserve">permit </w:t>
      </w:r>
      <w:r w:rsidR="0019610F">
        <w:rPr>
          <w:color w:val="000000"/>
        </w:rPr>
        <w:t xml:space="preserve">third party releases of certain </w:t>
      </w:r>
      <w:r w:rsidR="0000304C">
        <w:rPr>
          <w:color w:val="000000"/>
        </w:rPr>
        <w:t xml:space="preserve">direct creditor </w:t>
      </w:r>
      <w:r w:rsidR="0019610F">
        <w:rPr>
          <w:color w:val="000000"/>
        </w:rPr>
        <w:t xml:space="preserve">claims </w:t>
      </w:r>
      <w:r w:rsidR="0000304C">
        <w:rPr>
          <w:color w:val="000000"/>
        </w:rPr>
        <w:t xml:space="preserve">against non-debtors </w:t>
      </w:r>
      <w:r w:rsidR="0019610F">
        <w:rPr>
          <w:color w:val="000000"/>
        </w:rPr>
        <w:t>in a specific context</w:t>
      </w:r>
      <w:r w:rsidR="0000304C">
        <w:rPr>
          <w:color w:val="000000"/>
        </w:rPr>
        <w:t xml:space="preserve"> – asbestos cases</w:t>
      </w:r>
      <w:r w:rsidR="0019610F">
        <w:rPr>
          <w:color w:val="000000"/>
        </w:rPr>
        <w:t>. So t</w:t>
      </w:r>
      <w:r w:rsidR="0000304C">
        <w:rPr>
          <w:color w:val="000000"/>
        </w:rPr>
        <w:t>here</w:t>
      </w:r>
      <w:r w:rsidR="0019610F">
        <w:rPr>
          <w:color w:val="000000"/>
        </w:rPr>
        <w:t xml:space="preserve"> is no “residual power” that </w:t>
      </w:r>
      <w:r w:rsidR="0000304C">
        <w:rPr>
          <w:color w:val="000000"/>
        </w:rPr>
        <w:t>can</w:t>
      </w:r>
      <w:r>
        <w:rPr>
          <w:color w:val="000000"/>
        </w:rPr>
        <w:t xml:space="preserve"> authorize the Section 10.7 Shareholder Release</w:t>
      </w:r>
      <w:r w:rsidR="0000304C">
        <w:rPr>
          <w:color w:val="000000"/>
        </w:rPr>
        <w:t xml:space="preserve"> in Oxy’s chapter 11 case, which has nothing to do with managing a mass asbestos exposure</w:t>
      </w:r>
      <w:r w:rsidR="0019610F">
        <w:rPr>
          <w:color w:val="000000"/>
        </w:rPr>
        <w:t>. T</w:t>
      </w:r>
      <w:r>
        <w:rPr>
          <w:color w:val="000000"/>
        </w:rPr>
        <w:t>he Bankruptcy Court is being asked to insert a right that does not appear in</w:t>
      </w:r>
      <w:r w:rsidR="0019610F">
        <w:rPr>
          <w:color w:val="000000"/>
        </w:rPr>
        <w:t xml:space="preserve"> and is inconsistent with</w:t>
      </w:r>
      <w:r>
        <w:rPr>
          <w:color w:val="000000"/>
        </w:rPr>
        <w:t xml:space="preserve"> the </w:t>
      </w:r>
      <w:r w:rsidR="00C83EE0">
        <w:rPr>
          <w:color w:val="000000"/>
        </w:rPr>
        <w:t xml:space="preserve">express terms of the </w:t>
      </w:r>
      <w:r>
        <w:rPr>
          <w:color w:val="000000"/>
        </w:rPr>
        <w:t>Bankruptcy Code in order to achieve a bankruptcy objective</w:t>
      </w:r>
      <w:r w:rsidR="00C83EE0">
        <w:rPr>
          <w:color w:val="000000"/>
        </w:rPr>
        <w:t xml:space="preserve"> – value maximization for creditors and claimants</w:t>
      </w:r>
      <w:r w:rsidR="006A227C">
        <w:rPr>
          <w:color w:val="000000"/>
        </w:rPr>
        <w:t xml:space="preserve">.  </w:t>
      </w:r>
      <w:r>
        <w:rPr>
          <w:color w:val="000000"/>
        </w:rPr>
        <w:t xml:space="preserve">That is precisely what </w:t>
      </w:r>
      <w:r>
        <w:rPr>
          <w:i/>
          <w:iCs/>
          <w:color w:val="000000"/>
        </w:rPr>
        <w:t>In re Dairy Mart</w:t>
      </w:r>
      <w:r>
        <w:rPr>
          <w:color w:val="000000"/>
        </w:rPr>
        <w:t xml:space="preserve"> and </w:t>
      </w:r>
      <w:r>
        <w:rPr>
          <w:i/>
          <w:iCs/>
          <w:color w:val="000000"/>
        </w:rPr>
        <w:t>Metromedia</w:t>
      </w:r>
      <w:r>
        <w:rPr>
          <w:color w:val="000000"/>
        </w:rPr>
        <w:t xml:space="preserve"> </w:t>
      </w:r>
      <w:r w:rsidR="00C83EE0">
        <w:rPr>
          <w:color w:val="000000"/>
        </w:rPr>
        <w:t>prohibit.</w:t>
      </w:r>
    </w:p>
    <w:p w14:paraId="71C2F7BC" w14:textId="04FCB1CE" w:rsidR="00A77BBD" w:rsidRDefault="000F632A" w:rsidP="00A77BBD">
      <w:pPr>
        <w:pStyle w:val="BodyTextFirstIndent"/>
      </w:pPr>
      <w:r>
        <w:rPr>
          <w:color w:val="000000"/>
        </w:rPr>
        <w:t xml:space="preserve">The </w:t>
      </w:r>
      <w:r w:rsidR="00A77BBD">
        <w:rPr>
          <w:i/>
          <w:iCs/>
          <w:color w:val="000000"/>
        </w:rPr>
        <w:t>Energy Resources</w:t>
      </w:r>
      <w:r w:rsidR="00A77BBD">
        <w:rPr>
          <w:color w:val="000000"/>
        </w:rPr>
        <w:t xml:space="preserve"> Court</w:t>
      </w:r>
      <w:r w:rsidR="008B54D4">
        <w:rPr>
          <w:color w:val="000000"/>
        </w:rPr>
        <w:t>,</w:t>
      </w:r>
      <w:r w:rsidR="00A77BBD">
        <w:rPr>
          <w:color w:val="000000"/>
        </w:rPr>
        <w:t xml:space="preserve"> echoing </w:t>
      </w:r>
      <w:r>
        <w:rPr>
          <w:i/>
          <w:iCs/>
          <w:color w:val="000000"/>
        </w:rPr>
        <w:t>Ahlers</w:t>
      </w:r>
      <w:r w:rsidR="00C83EE0">
        <w:rPr>
          <w:i/>
          <w:iCs/>
          <w:color w:val="000000"/>
        </w:rPr>
        <w:t>,</w:t>
      </w:r>
      <w:r w:rsidR="00A77BBD">
        <w:rPr>
          <w:color w:val="000000"/>
        </w:rPr>
        <w:t xml:space="preserve"> recognized that any residuary power enjoyed by a bankruptcy court must be exercised in a way that “is not inconsistent with the applicable provisions of this title</w:t>
      </w:r>
      <w:r w:rsidR="00FA79C1">
        <w:rPr>
          <w:color w:val="000000"/>
        </w:rPr>
        <w:t xml:space="preserve">.”  </w:t>
      </w:r>
      <w:r>
        <w:rPr>
          <w:color w:val="000000"/>
        </w:rPr>
        <w:t>As discussed above</w:t>
      </w:r>
      <w:r w:rsidR="00C83EE0">
        <w:rPr>
          <w:color w:val="000000"/>
        </w:rPr>
        <w:t>,</w:t>
      </w:r>
      <w:r w:rsidR="00A77BBD">
        <w:rPr>
          <w:color w:val="000000"/>
        </w:rPr>
        <w:t xml:space="preserve"> Section 10.7 non-debtor releases are in fact inconsistent with applicable provisions of title 11 - with Sections 524 (g) and (h)</w:t>
      </w:r>
      <w:r w:rsidR="008B54D4">
        <w:rPr>
          <w:color w:val="000000"/>
        </w:rPr>
        <w:t>,</w:t>
      </w:r>
      <w:r w:rsidR="00A77BBD">
        <w:rPr>
          <w:color w:val="000000"/>
        </w:rPr>
        <w:t xml:space="preserve"> with Section 523</w:t>
      </w:r>
      <w:r w:rsidR="008B54D4">
        <w:rPr>
          <w:color w:val="000000"/>
        </w:rPr>
        <w:t>,</w:t>
      </w:r>
      <w:r w:rsidR="00A77BBD">
        <w:rPr>
          <w:color w:val="000000"/>
        </w:rPr>
        <w:t xml:space="preserve"> and with Section 1141(d)</w:t>
      </w:r>
      <w:r w:rsidR="008B54D4">
        <w:rPr>
          <w:color w:val="000000"/>
        </w:rPr>
        <w:t>,</w:t>
      </w:r>
      <w:r w:rsidR="00A77BBD">
        <w:rPr>
          <w:color w:val="000000"/>
        </w:rPr>
        <w:t xml:space="preserve"> and possibly even with Section 524(e)</w:t>
      </w:r>
      <w:r w:rsidR="006A227C">
        <w:rPr>
          <w:color w:val="000000"/>
        </w:rPr>
        <w:t xml:space="preserve">.  </w:t>
      </w:r>
      <w:r w:rsidR="00A77BBD">
        <w:rPr>
          <w:color w:val="000000"/>
        </w:rPr>
        <w:t>Therefore</w:t>
      </w:r>
      <w:r w:rsidR="008B54D4">
        <w:rPr>
          <w:color w:val="000000"/>
        </w:rPr>
        <w:t>,</w:t>
      </w:r>
      <w:r w:rsidR="00A77BBD">
        <w:rPr>
          <w:color w:val="000000"/>
        </w:rPr>
        <w:t xml:space="preserve"> no residual power can authorize such an order.</w:t>
      </w:r>
    </w:p>
    <w:p w14:paraId="5FA6CD59" w14:textId="54D83C2B" w:rsidR="00A77BBD" w:rsidRDefault="00A77BBD" w:rsidP="00A77BBD">
      <w:pPr>
        <w:pStyle w:val="BodyTextFirstIndent"/>
      </w:pPr>
      <w:r>
        <w:rPr>
          <w:color w:val="000000"/>
        </w:rPr>
        <w:t>As a corollary to the “residual authority” argument</w:t>
      </w:r>
      <w:r w:rsidR="008B54D4">
        <w:rPr>
          <w:color w:val="000000"/>
        </w:rPr>
        <w:t>,</w:t>
      </w:r>
      <w:r>
        <w:rPr>
          <w:color w:val="000000"/>
        </w:rPr>
        <w:t xml:space="preserve"> several Appellees argue the release of claims against the non-</w:t>
      </w:r>
      <w:r w:rsidR="000F632A">
        <w:rPr>
          <w:color w:val="000000"/>
        </w:rPr>
        <w:t>D</w:t>
      </w:r>
      <w:r>
        <w:rPr>
          <w:color w:val="000000"/>
        </w:rPr>
        <w:t xml:space="preserve">ebtor </w:t>
      </w:r>
      <w:r w:rsidR="00E82FD6">
        <w:rPr>
          <w:color w:val="000000"/>
        </w:rPr>
        <w:t>Packler</w:t>
      </w:r>
      <w:r>
        <w:rPr>
          <w:color w:val="000000"/>
        </w:rPr>
        <w:t>s and their related entities are proper because the Bankruptcy Code</w:t>
      </w:r>
      <w:r w:rsidR="008B54D4">
        <w:rPr>
          <w:color w:val="000000"/>
        </w:rPr>
        <w:t>,</w:t>
      </w:r>
      <w:r>
        <w:rPr>
          <w:color w:val="000000"/>
        </w:rPr>
        <w:t xml:space="preserve"> taken as a whole</w:t>
      </w:r>
      <w:r w:rsidR="008B54D4">
        <w:rPr>
          <w:color w:val="000000"/>
        </w:rPr>
        <w:t>,</w:t>
      </w:r>
      <w:r>
        <w:rPr>
          <w:color w:val="000000"/>
        </w:rPr>
        <w:t xml:space="preserve"> creates a “special remedial scheme” in which certain legal proceedings may terminate preexisting rights if the scheme is otherwise consistent with due process</w:t>
      </w:r>
      <w:r w:rsidR="006A227C">
        <w:rPr>
          <w:color w:val="000000"/>
        </w:rPr>
        <w:t xml:space="preserve">.  </w:t>
      </w:r>
      <w:r>
        <w:rPr>
          <w:color w:val="000000"/>
        </w:rPr>
        <w:t xml:space="preserve">They cite </w:t>
      </w:r>
      <w:r>
        <w:rPr>
          <w:i/>
          <w:iCs/>
          <w:color w:val="000000"/>
        </w:rPr>
        <w:t>Martin</w:t>
      </w:r>
      <w:r w:rsidR="00E150C1">
        <w:rPr>
          <w:i/>
          <w:iCs/>
          <w:color w:val="000000"/>
        </w:rPr>
        <w:t xml:space="preserve"> v. </w:t>
      </w:r>
      <w:r>
        <w:rPr>
          <w:i/>
          <w:iCs/>
          <w:color w:val="000000"/>
        </w:rPr>
        <w:t>Wilks</w:t>
      </w:r>
      <w:r w:rsidR="008B54D4">
        <w:rPr>
          <w:color w:val="000000"/>
        </w:rPr>
        <w:t>,</w:t>
      </w:r>
      <w:r>
        <w:rPr>
          <w:color w:val="000000"/>
        </w:rPr>
        <w:t xml:space="preserve"> </w:t>
      </w:r>
      <w:hyperlink r:id="rId248" w:history="1">
        <w:r>
          <w:rPr>
            <w:color w:val="000000"/>
          </w:rPr>
          <w:t xml:space="preserve">490 </w:t>
        </w:r>
        <w:r w:rsidR="002F10FB">
          <w:rPr>
            <w:color w:val="000000"/>
          </w:rPr>
          <w:t xml:space="preserve">U.S. </w:t>
        </w:r>
        <w:r>
          <w:rPr>
            <w:color w:val="000000"/>
          </w:rPr>
          <w:t>755</w:t>
        </w:r>
      </w:hyperlink>
      <w:r>
        <w:rPr>
          <w:color w:val="000000"/>
        </w:rPr>
        <w:t xml:space="preserve"> (1989) for their proposition.</w:t>
      </w:r>
    </w:p>
    <w:p w14:paraId="0B513447" w14:textId="5D34092B" w:rsidR="00A77BBD" w:rsidRDefault="00A77BBD" w:rsidP="00A77BBD">
      <w:pPr>
        <w:pStyle w:val="BodyTextFirstIndent"/>
      </w:pPr>
      <w:r>
        <w:rPr>
          <w:color w:val="000000"/>
        </w:rPr>
        <w:t xml:space="preserve">In </w:t>
      </w:r>
      <w:r>
        <w:rPr>
          <w:i/>
          <w:iCs/>
          <w:color w:val="000000"/>
        </w:rPr>
        <w:t>Martin</w:t>
      </w:r>
      <w:r w:rsidR="00E150C1">
        <w:rPr>
          <w:i/>
          <w:iCs/>
          <w:color w:val="000000"/>
        </w:rPr>
        <w:t xml:space="preserve"> v. </w:t>
      </w:r>
      <w:r>
        <w:rPr>
          <w:i/>
          <w:iCs/>
          <w:color w:val="000000"/>
        </w:rPr>
        <w:t>Wilks</w:t>
      </w:r>
      <w:r w:rsidR="008B54D4">
        <w:rPr>
          <w:color w:val="000000"/>
        </w:rPr>
        <w:t>,</w:t>
      </w:r>
      <w:r>
        <w:rPr>
          <w:color w:val="000000"/>
        </w:rPr>
        <w:t xml:space="preserve"> the Supreme Court announced that</w:t>
      </w:r>
      <w:r w:rsidR="008B54D4">
        <w:rPr>
          <w:color w:val="000000"/>
        </w:rPr>
        <w:t>,</w:t>
      </w:r>
      <w:r>
        <w:rPr>
          <w:color w:val="000000"/>
        </w:rPr>
        <w:t xml:space="preserve"> as a general rule</w:t>
      </w:r>
      <w:r w:rsidR="008B54D4">
        <w:rPr>
          <w:color w:val="000000"/>
        </w:rPr>
        <w:t>,</w:t>
      </w:r>
      <w:r>
        <w:rPr>
          <w:color w:val="000000"/>
        </w:rPr>
        <w:t xml:space="preserve"> “</w:t>
      </w:r>
      <w:r w:rsidR="000F632A">
        <w:rPr>
          <w:color w:val="000000"/>
        </w:rPr>
        <w:t>[a]</w:t>
      </w:r>
      <w:r>
        <w:rPr>
          <w:color w:val="000000"/>
        </w:rPr>
        <w:t xml:space="preserve"> judgment or decree among parties to a lawsuit resolves issues as among them</w:t>
      </w:r>
      <w:r w:rsidR="008B54D4">
        <w:rPr>
          <w:color w:val="000000"/>
        </w:rPr>
        <w:t>,</w:t>
      </w:r>
      <w:r>
        <w:rPr>
          <w:color w:val="000000"/>
        </w:rPr>
        <w:t xml:space="preserve"> but it does not conclude the rights of strangers to those proceedings</w:t>
      </w:r>
      <w:r w:rsidR="00FA79C1">
        <w:rPr>
          <w:color w:val="000000"/>
        </w:rPr>
        <w:t xml:space="preserve">.”  </w:t>
      </w:r>
      <w:r>
        <w:rPr>
          <w:color w:val="000000"/>
        </w:rPr>
        <w:t>It affirmed the Eleventh Circuit</w:t>
      </w:r>
      <w:r w:rsidR="008B54D4">
        <w:rPr>
          <w:color w:val="000000"/>
        </w:rPr>
        <w:t>’</w:t>
      </w:r>
      <w:r>
        <w:rPr>
          <w:color w:val="000000"/>
        </w:rPr>
        <w:t>s judgment allowing certain individuals</w:t>
      </w:r>
      <w:r w:rsidR="000F632A">
        <w:rPr>
          <w:color w:val="000000"/>
        </w:rPr>
        <w:t>,</w:t>
      </w:r>
      <w:r>
        <w:rPr>
          <w:color w:val="000000"/>
        </w:rPr>
        <w:t xml:space="preserve"> who were </w:t>
      </w:r>
      <w:r>
        <w:rPr>
          <w:i/>
          <w:iCs/>
          <w:color w:val="000000"/>
        </w:rPr>
        <w:t>not</w:t>
      </w:r>
      <w:r>
        <w:rPr>
          <w:color w:val="000000"/>
        </w:rPr>
        <w:t xml:space="preserve"> parties to an original action</w:t>
      </w:r>
      <w:r w:rsidR="000F632A">
        <w:rPr>
          <w:color w:val="000000"/>
        </w:rPr>
        <w:t>,</w:t>
      </w:r>
      <w:r>
        <w:rPr>
          <w:color w:val="000000"/>
        </w:rPr>
        <w:t xml:space="preserve"> to challenge consent decrees entered in that original case</w:t>
      </w:r>
      <w:r w:rsidR="006A227C">
        <w:rPr>
          <w:color w:val="000000"/>
        </w:rPr>
        <w:t xml:space="preserve">.  </w:t>
      </w:r>
      <w:r w:rsidR="00FD7892">
        <w:rPr>
          <w:i/>
          <w:iCs/>
          <w:color w:val="000000"/>
        </w:rPr>
        <w:t xml:space="preserve">Id. </w:t>
      </w:r>
      <w:r>
        <w:rPr>
          <w:color w:val="000000"/>
        </w:rPr>
        <w:t>at 762</w:t>
      </w:r>
      <w:r w:rsidR="006A227C">
        <w:rPr>
          <w:color w:val="000000"/>
        </w:rPr>
        <w:t xml:space="preserve">.  </w:t>
      </w:r>
      <w:r>
        <w:rPr>
          <w:color w:val="000000"/>
        </w:rPr>
        <w:t>But</w:t>
      </w:r>
      <w:r w:rsidR="008B54D4">
        <w:rPr>
          <w:color w:val="000000"/>
        </w:rPr>
        <w:t>,</w:t>
      </w:r>
      <w:r>
        <w:rPr>
          <w:color w:val="000000"/>
        </w:rPr>
        <w:t xml:space="preserve"> in a footnote</w:t>
      </w:r>
      <w:r w:rsidR="008B54D4">
        <w:rPr>
          <w:color w:val="000000"/>
        </w:rPr>
        <w:t>,</w:t>
      </w:r>
      <w:r>
        <w:rPr>
          <w:color w:val="000000"/>
        </w:rPr>
        <w:t xml:space="preserve"> the Court acknowledged an exception to the general rule exists “where a special remedial scheme exists expressly foreclosing successive litigation by nonlitigants</w:t>
      </w:r>
      <w:r w:rsidR="008B54D4">
        <w:rPr>
          <w:color w:val="000000"/>
        </w:rPr>
        <w:t>,</w:t>
      </w:r>
      <w:r>
        <w:rPr>
          <w:color w:val="000000"/>
        </w:rPr>
        <w:t xml:space="preserve"> as for example in bankruptcy or probate</w:t>
      </w:r>
      <w:r w:rsidR="008B54D4">
        <w:rPr>
          <w:color w:val="000000"/>
        </w:rPr>
        <w:t>,</w:t>
      </w:r>
      <w:r>
        <w:rPr>
          <w:color w:val="000000"/>
        </w:rPr>
        <w:t xml:space="preserve"> legal proceedings may terminate preexisting rights if the scheme is otherwise consistent with due process</w:t>
      </w:r>
      <w:r w:rsidR="00FA79C1">
        <w:rPr>
          <w:color w:val="000000"/>
        </w:rPr>
        <w:t xml:space="preserve">.”  </w:t>
      </w:r>
      <w:r w:rsidR="00FD7892">
        <w:rPr>
          <w:i/>
          <w:iCs/>
          <w:color w:val="000000"/>
        </w:rPr>
        <w:t xml:space="preserve">Id. </w:t>
      </w:r>
      <w:r>
        <w:rPr>
          <w:color w:val="000000"/>
        </w:rPr>
        <w:t>at 762</w:t>
      </w:r>
      <w:r w:rsidR="008B54D4">
        <w:rPr>
          <w:color w:val="000000"/>
        </w:rPr>
        <w:t>,</w:t>
      </w:r>
      <w:r>
        <w:rPr>
          <w:color w:val="000000"/>
        </w:rPr>
        <w:t xml:space="preserve"> n.</w:t>
      </w:r>
      <w:r w:rsidR="00581AE0">
        <w:rPr>
          <w:color w:val="000000"/>
        </w:rPr>
        <w:t xml:space="preserve"> </w:t>
      </w:r>
      <w:r>
        <w:rPr>
          <w:color w:val="000000"/>
        </w:rPr>
        <w:t>2.</w:t>
      </w:r>
    </w:p>
    <w:p w14:paraId="454F3E1E" w14:textId="30B93935" w:rsidR="00A77BBD" w:rsidRDefault="00A77BBD" w:rsidP="00A77BBD">
      <w:pPr>
        <w:pStyle w:val="BodyTextFirstIndent"/>
      </w:pPr>
      <w:r>
        <w:rPr>
          <w:color w:val="000000"/>
        </w:rPr>
        <w:t xml:space="preserve">Judge </w:t>
      </w:r>
      <w:r w:rsidR="00E82FD6">
        <w:rPr>
          <w:color w:val="000000"/>
        </w:rPr>
        <w:t>Wains</w:t>
      </w:r>
      <w:r>
        <w:rPr>
          <w:color w:val="000000"/>
        </w:rPr>
        <w:t xml:space="preserve"> did not adopt this reasoning or rest his view about his statutory authority on the Bankruptcy Code</w:t>
      </w:r>
      <w:r w:rsidR="008B54D4">
        <w:rPr>
          <w:color w:val="000000"/>
        </w:rPr>
        <w:t>’</w:t>
      </w:r>
      <w:r>
        <w:rPr>
          <w:color w:val="000000"/>
        </w:rPr>
        <w:t>s “special remedial scheme” - and rightly so</w:t>
      </w:r>
      <w:r w:rsidR="008B54D4">
        <w:rPr>
          <w:color w:val="000000"/>
        </w:rPr>
        <w:t>,</w:t>
      </w:r>
      <w:r>
        <w:rPr>
          <w:color w:val="000000"/>
        </w:rPr>
        <w:t xml:space="preserve"> because it is contrary to Second Circuit law</w:t>
      </w:r>
      <w:r w:rsidR="006A227C">
        <w:rPr>
          <w:color w:val="000000"/>
        </w:rPr>
        <w:t xml:space="preserve">.  </w:t>
      </w:r>
      <w:r>
        <w:rPr>
          <w:color w:val="000000"/>
        </w:rPr>
        <w:t>The “special remedial scheme” contemplated by the Bankruptcy Code addresses the rights of persons who have claims against a debtor in bankruptcy - not claims against other non</w:t>
      </w:r>
      <w:r w:rsidR="00581AE0">
        <w:rPr>
          <w:color w:val="000000"/>
        </w:rPr>
        <w:t>-</w:t>
      </w:r>
      <w:r>
        <w:rPr>
          <w:color w:val="000000"/>
        </w:rPr>
        <w:t>debtors</w:t>
      </w:r>
      <w:r w:rsidR="006A227C">
        <w:rPr>
          <w:color w:val="000000"/>
        </w:rPr>
        <w:t xml:space="preserve">.  </w:t>
      </w:r>
      <w:r>
        <w:rPr>
          <w:color w:val="000000"/>
        </w:rPr>
        <w:t>The Code lays out a claims allowance process so that creditors can file their claims against someone who has invoked the protection of the Bankruptcy Code; it provides a mechanism for those parties to litigate those claims against the debtor and to determine their value</w:t>
      </w:r>
      <w:r w:rsidR="006A227C">
        <w:rPr>
          <w:color w:val="000000"/>
        </w:rPr>
        <w:t xml:space="preserve">.  </w:t>
      </w:r>
      <w:r>
        <w:rPr>
          <w:color w:val="000000"/>
        </w:rPr>
        <w:t>In order to take advantage of this “special remedial scheme</w:t>
      </w:r>
      <w:r w:rsidR="008B54D4">
        <w:rPr>
          <w:color w:val="000000"/>
        </w:rPr>
        <w:t>,</w:t>
      </w:r>
      <w:r>
        <w:rPr>
          <w:color w:val="000000"/>
        </w:rPr>
        <w:t>” debtors have to declare bankruptcy</w:t>
      </w:r>
      <w:r w:rsidR="008B54D4">
        <w:rPr>
          <w:color w:val="000000"/>
        </w:rPr>
        <w:t>,</w:t>
      </w:r>
      <w:r>
        <w:rPr>
          <w:color w:val="000000"/>
        </w:rPr>
        <w:t xml:space="preserve"> disclose their assets</w:t>
      </w:r>
      <w:r w:rsidR="008B54D4">
        <w:rPr>
          <w:color w:val="000000"/>
        </w:rPr>
        <w:t>,</w:t>
      </w:r>
      <w:r>
        <w:rPr>
          <w:color w:val="000000"/>
        </w:rPr>
        <w:t xml:space="preserve"> and apply them - all of them</w:t>
      </w:r>
      <w:r w:rsidR="008B54D4">
        <w:rPr>
          <w:color w:val="000000"/>
        </w:rPr>
        <w:t>,</w:t>
      </w:r>
      <w:r>
        <w:rPr>
          <w:color w:val="000000"/>
        </w:rPr>
        <w:t xml:space="preserve"> with </w:t>
      </w:r>
      <w:r>
        <w:rPr>
          <w:i/>
          <w:iCs/>
          <w:color w:val="000000"/>
        </w:rPr>
        <w:t>de minimis</w:t>
      </w:r>
      <w:r>
        <w:rPr>
          <w:color w:val="000000"/>
        </w:rPr>
        <w:t xml:space="preserve"> exceptions - to the resolution of the claims of their creditors.</w:t>
      </w:r>
    </w:p>
    <w:p w14:paraId="0C0ED2D4" w14:textId="53DA027B" w:rsidR="00A77BBD" w:rsidRDefault="00A77BBD" w:rsidP="00A77BBD">
      <w:pPr>
        <w:pStyle w:val="BodyTextFirstIndent"/>
      </w:pPr>
      <w:r>
        <w:rPr>
          <w:color w:val="000000"/>
        </w:rPr>
        <w:t>Non-debtors have no such obligations</w:t>
      </w:r>
      <w:r w:rsidR="008B54D4">
        <w:rPr>
          <w:color w:val="000000"/>
        </w:rPr>
        <w:t>,</w:t>
      </w:r>
      <w:r>
        <w:rPr>
          <w:color w:val="000000"/>
        </w:rPr>
        <w:t xml:space="preserve"> and so do not have any rights at all under the “special remedial scheme” that is bankruptcy - certainly not the “right” to have claims that are being asserted against them outside the bankruptcy process released</w:t>
      </w:r>
      <w:r w:rsidR="006A227C">
        <w:rPr>
          <w:color w:val="000000"/>
        </w:rPr>
        <w:t xml:space="preserve">.  </w:t>
      </w:r>
      <w:r>
        <w:rPr>
          <w:color w:val="000000"/>
        </w:rPr>
        <w:t xml:space="preserve">As the Second Circuit held in </w:t>
      </w:r>
      <w:r>
        <w:rPr>
          <w:i/>
          <w:iCs/>
          <w:color w:val="000000"/>
        </w:rPr>
        <w:t>Manville III</w:t>
      </w:r>
      <w:r w:rsidR="008B54D4">
        <w:rPr>
          <w:color w:val="000000"/>
        </w:rPr>
        <w:t>,</w:t>
      </w:r>
      <w:r>
        <w:rPr>
          <w:color w:val="000000"/>
        </w:rPr>
        <w:t xml:space="preserve"> the “special remedial scheme” due process exception relating to </w:t>
      </w:r>
      <w:r>
        <w:rPr>
          <w:i/>
          <w:iCs/>
          <w:color w:val="000000"/>
        </w:rPr>
        <w:t>in rem</w:t>
      </w:r>
      <w:r>
        <w:rPr>
          <w:color w:val="000000"/>
        </w:rPr>
        <w:t xml:space="preserve"> bankruptcy proceedings simply does not give a bankruptcy court subject matter jurisdiction to release </w:t>
      </w:r>
      <w:r>
        <w:rPr>
          <w:i/>
          <w:iCs/>
          <w:color w:val="000000"/>
        </w:rPr>
        <w:t>in personam</w:t>
      </w:r>
      <w:r>
        <w:rPr>
          <w:color w:val="000000"/>
        </w:rPr>
        <w:t xml:space="preserve"> third-party claims against a non-debtor</w:t>
      </w:r>
      <w:r w:rsidR="006A227C">
        <w:rPr>
          <w:color w:val="000000"/>
        </w:rPr>
        <w:t xml:space="preserve">.  </w:t>
      </w:r>
      <w:r>
        <w:rPr>
          <w:i/>
          <w:iCs/>
          <w:color w:val="000000"/>
        </w:rPr>
        <w:t>In re Johns-Manville Corp</w:t>
      </w:r>
      <w:r>
        <w:rPr>
          <w:color w:val="000000"/>
        </w:rPr>
        <w:t>.</w:t>
      </w:r>
      <w:r w:rsidR="008B54D4">
        <w:rPr>
          <w:color w:val="000000"/>
        </w:rPr>
        <w:t>,</w:t>
      </w:r>
      <w:r>
        <w:rPr>
          <w:color w:val="000000"/>
        </w:rPr>
        <w:t xml:space="preserve"> </w:t>
      </w:r>
      <w:hyperlink r:id="rId249" w:history="1">
        <w:r>
          <w:rPr>
            <w:color w:val="000000"/>
          </w:rPr>
          <w:t xml:space="preserve">600 </w:t>
        </w:r>
        <w:r w:rsidR="000F32DE">
          <w:rPr>
            <w:color w:val="000000"/>
          </w:rPr>
          <w:t>F.</w:t>
        </w:r>
        <w:r>
          <w:rPr>
            <w:color w:val="000000"/>
          </w:rPr>
          <w:t>3d 135</w:t>
        </w:r>
        <w:r w:rsidR="008B54D4">
          <w:rPr>
            <w:color w:val="000000"/>
          </w:rPr>
          <w:t>,</w:t>
        </w:r>
        <w:r>
          <w:rPr>
            <w:color w:val="000000"/>
          </w:rPr>
          <w:t xml:space="preserve"> 158</w:t>
        </w:r>
      </w:hyperlink>
      <w:r>
        <w:rPr>
          <w:color w:val="000000"/>
        </w:rPr>
        <w:t xml:space="preserve"> (2d </w:t>
      </w:r>
      <w:r w:rsidR="00E97455">
        <w:rPr>
          <w:color w:val="000000"/>
        </w:rPr>
        <w:t xml:space="preserve">Cir. </w:t>
      </w:r>
      <w:r>
        <w:rPr>
          <w:color w:val="000000"/>
        </w:rPr>
        <w:t>2010).</w:t>
      </w:r>
    </w:p>
    <w:p w14:paraId="2FBABEE5" w14:textId="3025061B" w:rsidR="00A77BBD" w:rsidRDefault="00A77BBD" w:rsidP="00A77BBD">
      <w:pPr>
        <w:pStyle w:val="BodyTextFirstIndent"/>
      </w:pPr>
      <w:r>
        <w:rPr>
          <w:b/>
          <w:bCs/>
          <w:color w:val="000000"/>
          <w:u w:val="single"/>
        </w:rPr>
        <w:t>Conclusion:  No Statutory Authority</w:t>
      </w:r>
      <w:r w:rsidR="006A227C" w:rsidRPr="00581AE0">
        <w:rPr>
          <w:color w:val="000000"/>
        </w:rPr>
        <w:t xml:space="preserve">.  </w:t>
      </w:r>
      <w:r>
        <w:rPr>
          <w:color w:val="000000"/>
        </w:rPr>
        <w:t xml:space="preserve">In </w:t>
      </w:r>
      <w:r>
        <w:rPr>
          <w:i/>
          <w:iCs/>
          <w:color w:val="000000"/>
        </w:rPr>
        <w:t>Metromedia</w:t>
      </w:r>
      <w:r w:rsidR="008B54D4" w:rsidRPr="00581AE0">
        <w:rPr>
          <w:color w:val="000000"/>
        </w:rPr>
        <w:t>,</w:t>
      </w:r>
      <w:r w:rsidRPr="00581AE0">
        <w:rPr>
          <w:color w:val="000000"/>
        </w:rPr>
        <w:t xml:space="preserve"> </w:t>
      </w:r>
      <w:r w:rsidR="000F632A">
        <w:rPr>
          <w:color w:val="000000"/>
        </w:rPr>
        <w:t>we</w:t>
      </w:r>
      <w:r>
        <w:rPr>
          <w:color w:val="000000"/>
        </w:rPr>
        <w:t xml:space="preserve"> signaled that a Bankruptcy Code could not order the non-consensual release of third-party claims against non</w:t>
      </w:r>
      <w:r w:rsidR="00581AE0">
        <w:rPr>
          <w:color w:val="000000"/>
        </w:rPr>
        <w:t>-</w:t>
      </w:r>
      <w:r>
        <w:rPr>
          <w:color w:val="000000"/>
        </w:rPr>
        <w:t>debtors unless some provision of the Bankruptcy Code aside from Section 105(a) authorized it to do so</w:t>
      </w:r>
      <w:r w:rsidR="006A227C">
        <w:rPr>
          <w:color w:val="000000"/>
        </w:rPr>
        <w:t xml:space="preserve">.  </w:t>
      </w:r>
      <w:r>
        <w:rPr>
          <w:color w:val="000000"/>
        </w:rPr>
        <w:t>For the reasons stated above</w:t>
      </w:r>
      <w:r w:rsidR="008B54D4">
        <w:rPr>
          <w:color w:val="000000"/>
        </w:rPr>
        <w:t>,</w:t>
      </w:r>
      <w:r>
        <w:rPr>
          <w:color w:val="000000"/>
        </w:rPr>
        <w:t xml:space="preserve"> </w:t>
      </w:r>
      <w:r w:rsidR="000F632A">
        <w:rPr>
          <w:color w:val="000000"/>
        </w:rPr>
        <w:t xml:space="preserve">we </w:t>
      </w:r>
      <w:r>
        <w:rPr>
          <w:color w:val="000000"/>
        </w:rPr>
        <w:t>conclude that there is no such section</w:t>
      </w:r>
      <w:r w:rsidR="008B54D4">
        <w:rPr>
          <w:color w:val="000000"/>
        </w:rPr>
        <w:t>,</w:t>
      </w:r>
      <w:r>
        <w:rPr>
          <w:color w:val="000000"/>
        </w:rPr>
        <w:t xml:space="preserve"> and so no such authority.</w:t>
      </w:r>
    </w:p>
    <w:p w14:paraId="44506E54" w14:textId="7CBC7F93" w:rsidR="00A77BBD" w:rsidRDefault="00A77BBD" w:rsidP="00A77BBD">
      <w:pPr>
        <w:pStyle w:val="BodyTextFirstIndent"/>
      </w:pPr>
      <w:r>
        <w:rPr>
          <w:color w:val="000000"/>
        </w:rPr>
        <w:t>Because the Bankruptcy Code confers no such authority</w:t>
      </w:r>
      <w:r w:rsidR="008B54D4">
        <w:rPr>
          <w:color w:val="000000"/>
        </w:rPr>
        <w:t>,</w:t>
      </w:r>
      <w:r>
        <w:rPr>
          <w:color w:val="000000"/>
        </w:rPr>
        <w:t xml:space="preserve"> the </w:t>
      </w:r>
      <w:r w:rsidR="000F632A">
        <w:rPr>
          <w:color w:val="000000"/>
        </w:rPr>
        <w:t xml:space="preserve">District Court’s ruling vacating the </w:t>
      </w:r>
      <w:r w:rsidR="003521FD">
        <w:rPr>
          <w:color w:val="000000"/>
        </w:rPr>
        <w:t xml:space="preserve">Confirmation Order </w:t>
      </w:r>
      <w:r w:rsidR="000F632A">
        <w:rPr>
          <w:color w:val="000000"/>
        </w:rPr>
        <w:t>and rel</w:t>
      </w:r>
      <w:r w:rsidR="003521FD">
        <w:rPr>
          <w:color w:val="000000"/>
        </w:rPr>
        <w:t>at</w:t>
      </w:r>
      <w:r w:rsidR="000F632A">
        <w:rPr>
          <w:color w:val="000000"/>
        </w:rPr>
        <w:t>ed orders permitting certain advances is affirmed</w:t>
      </w:r>
      <w:r w:rsidR="006A227C">
        <w:rPr>
          <w:color w:val="000000"/>
        </w:rPr>
        <w:t xml:space="preserve">. </w:t>
      </w:r>
    </w:p>
    <w:p w14:paraId="3ECDBEDA" w14:textId="5AD3F4D4" w:rsidR="00BF5EEA" w:rsidRDefault="00A77BBD" w:rsidP="00BF5EEA">
      <w:pPr>
        <w:pStyle w:val="BodyTextFirstIndent"/>
      </w:pPr>
      <w:r>
        <w:rPr>
          <w:color w:val="000000"/>
        </w:rPr>
        <w:t xml:space="preserve">This constitutes the decision and order of the </w:t>
      </w:r>
      <w:r w:rsidR="003521FD">
        <w:rPr>
          <w:color w:val="000000"/>
        </w:rPr>
        <w:t>C</w:t>
      </w:r>
      <w:r w:rsidR="00BF5EEA">
        <w:rPr>
          <w:color w:val="000000"/>
        </w:rPr>
        <w:t>ourt.  This is a written opinion.</w:t>
      </w:r>
    </w:p>
    <w:p w14:paraId="3795B205" w14:textId="635F6C8D" w:rsidR="00A77BBD" w:rsidRDefault="00A77BBD" w:rsidP="00A77BBD">
      <w:pPr>
        <w:pStyle w:val="BodyTextFirstIndent"/>
      </w:pPr>
      <w:r>
        <w:rPr>
          <w:color w:val="000000"/>
        </w:rPr>
        <w:t xml:space="preserve">Dated:  </w:t>
      </w:r>
      <w:r w:rsidR="00A75961">
        <w:rPr>
          <w:color w:val="000000"/>
        </w:rPr>
        <w:t xml:space="preserve">October 31, </w:t>
      </w:r>
      <w:r>
        <w:rPr>
          <w:color w:val="000000"/>
        </w:rPr>
        <w:t>20</w:t>
      </w:r>
      <w:r w:rsidR="000F632A">
        <w:rPr>
          <w:color w:val="000000"/>
        </w:rPr>
        <w:t>22</w:t>
      </w:r>
    </w:p>
    <w:p w14:paraId="04DB3B44" w14:textId="70569F7B" w:rsidR="00A77BBD" w:rsidRDefault="00BF5EEA" w:rsidP="00BF5EEA">
      <w:pPr>
        <w:pStyle w:val="BodyTextFirstIndent"/>
        <w:spacing w:line="240" w:lineRule="auto"/>
        <w:ind w:left="6480" w:hanging="1440"/>
      </w:pPr>
      <w:r>
        <w:rPr>
          <w:color w:val="000000"/>
        </w:rPr>
        <w:t>_________________________________</w:t>
      </w:r>
      <w:r>
        <w:rPr>
          <w:color w:val="000000"/>
        </w:rPr>
        <w:br/>
      </w:r>
    </w:p>
    <w:p w14:paraId="69A3E651" w14:textId="671D312D" w:rsidR="00925F9D" w:rsidRDefault="00925F9D"/>
    <w:p w14:paraId="65F482C8" w14:textId="77777777" w:rsidR="000F632A" w:rsidRDefault="000F632A"/>
    <w:p w14:paraId="2D28C021" w14:textId="1DB9C947" w:rsidR="00C740FC" w:rsidRDefault="00C740FC" w:rsidP="00C740FC">
      <w:pPr>
        <w:pStyle w:val="BodyTextFirstIndent"/>
        <w:ind w:firstLine="0"/>
      </w:pPr>
    </w:p>
    <w:p w14:paraId="7B6B5F30" w14:textId="77777777" w:rsidR="00C740FC" w:rsidRDefault="00C740FC">
      <w:r>
        <w:br w:type="page"/>
      </w:r>
    </w:p>
    <w:p w14:paraId="1C024264" w14:textId="17C3C287" w:rsidR="00C740FC" w:rsidRDefault="00C740FC" w:rsidP="00C740FC">
      <w:pPr>
        <w:pStyle w:val="BodyTextFirstIndent"/>
        <w:ind w:firstLine="0"/>
        <w:rPr>
          <w:b/>
          <w:bCs/>
          <w:u w:val="single"/>
        </w:rPr>
      </w:pPr>
      <w:r>
        <w:rPr>
          <w:b/>
          <w:bCs/>
          <w:u w:val="single"/>
        </w:rPr>
        <w:t>Attachment B</w:t>
      </w:r>
    </w:p>
    <w:p w14:paraId="4C0A6FF0" w14:textId="1C7286BA" w:rsidR="00C740FC" w:rsidRDefault="00C740FC" w:rsidP="00C740FC">
      <w:pPr>
        <w:pStyle w:val="BodyTextFirstIndent"/>
        <w:ind w:firstLine="0"/>
      </w:pPr>
      <w:r>
        <w:tab/>
        <w:t xml:space="preserve">The District Court had appellate jurisdiction to review the Confirmation Order under 28 U.S.C. §158(a)(1). </w:t>
      </w:r>
    </w:p>
    <w:p w14:paraId="70A752BA" w14:textId="30813643" w:rsidR="00C740FC" w:rsidRDefault="00C740FC" w:rsidP="00C740FC">
      <w:pPr>
        <w:pStyle w:val="BodyTextFirstIndent"/>
        <w:ind w:firstLine="0"/>
      </w:pPr>
      <w:r>
        <w:tab/>
        <w:t xml:space="preserve">The District Court, in a carefully reasoned opinion, reverse the Bankruptcy Court, vacating the Confirmation Order. It did so because it found that the Bankruptcy Court lacked specific statutory authority under the Bankruptcy Code to order the releases of certain entities of creditors against the Packler entities and non-Debtor third parties. </w:t>
      </w:r>
    </w:p>
    <w:p w14:paraId="6C9BCFD6" w14:textId="576D148E" w:rsidR="00C740FC" w:rsidRPr="00C740FC" w:rsidRDefault="00C740FC" w:rsidP="00C740FC">
      <w:pPr>
        <w:pStyle w:val="BodyTextFirstIndent"/>
        <w:ind w:firstLine="0"/>
      </w:pPr>
      <w:r>
        <w:tab/>
      </w:r>
      <w:commentRangeStart w:id="0"/>
      <w:r>
        <w:t xml:space="preserve">Each Appellant timely filed motions of appeal from the District Courts order vacating the Confirmation Order and moved the </w:t>
      </w:r>
      <w:r w:rsidR="00C547C6">
        <w:t xml:space="preserve">District Court to certify its order for interlocutory appeal to this Court under 28 U.S.C. §1292(b). The District Court granted this motion and Oxy and the other Appellants in connection with the related motion practice was timely in asking whether this Court can ??? to appeal and this court granted that and each other petition. </w:t>
      </w:r>
      <w:commentRangeEnd w:id="0"/>
      <w:r w:rsidR="00C547C6">
        <w:rPr>
          <w:rStyle w:val="CommentReference"/>
        </w:rPr>
        <w:commentReference w:id="0"/>
      </w:r>
    </w:p>
    <w:sectPr w:rsidR="00C740FC" w:rsidRPr="00C740FC" w:rsidSect="00A77BBD">
      <w:headerReference w:type="even" r:id="rId254"/>
      <w:headerReference w:type="default" r:id="rId255"/>
      <w:footerReference w:type="even" r:id="rId256"/>
      <w:footerReference w:type="default" r:id="rId257"/>
      <w:headerReference w:type="first" r:id="rId258"/>
      <w:footerReference w:type="first" r:id="rId259"/>
      <w:pgSz w:w="11962" w:h="15139"/>
      <w:pgMar w:top="1440" w:right="1440" w:bottom="1440" w:left="1440" w:header="720" w:footer="720"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illiams, Jordan L." w:date="2022-10-25T00:00:00Z" w:initials="WJL">
    <w:p w14:paraId="0EBA7756" w14:textId="2E192D0E" w:rsidR="00C547C6" w:rsidRDefault="00C547C6">
      <w:pPr>
        <w:pStyle w:val="CommentText"/>
      </w:pPr>
      <w:r>
        <w:rPr>
          <w:rStyle w:val="CommentReference"/>
        </w:rPr>
        <w:annotationRef/>
      </w:r>
      <w:r>
        <w:t>Cant read your handwriting here… did my best.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BA77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1A5B8" w16cex:dateUtc="2022-10-25T0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BA7756" w16cid:durableId="2701A5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96929" w14:textId="77777777" w:rsidR="004210CE" w:rsidRDefault="004210CE" w:rsidP="00A77BBD">
      <w:pPr>
        <w:spacing w:after="0" w:line="240" w:lineRule="auto"/>
      </w:pPr>
      <w:r>
        <w:separator/>
      </w:r>
    </w:p>
  </w:endnote>
  <w:endnote w:type="continuationSeparator" w:id="0">
    <w:p w14:paraId="06022618" w14:textId="77777777" w:rsidR="004210CE" w:rsidRDefault="004210CE" w:rsidP="00A77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6B71E" w14:textId="77777777" w:rsidR="00A77BBD" w:rsidRDefault="00A77BBD">
    <w:pPr>
      <w:tabs>
        <w:tab w:val="center" w:pos="4680"/>
        <w:tab w:val="right" w:pos="9360"/>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919B3" w14:textId="77777777" w:rsidR="00234033" w:rsidRDefault="00A91318" w:rsidP="00A91318">
    <w:pPr>
      <w:pStyle w:val="Footer"/>
      <w:rPr>
        <w:noProof/>
      </w:rPr>
    </w:pPr>
    <w:r>
      <w:tab/>
    </w:r>
    <w:r>
      <w:fldChar w:fldCharType="begin"/>
    </w:r>
    <w:r>
      <w:instrText xml:space="preserve"> PAGE   \* MERGEFORMAT </w:instrText>
    </w:r>
    <w:r>
      <w:fldChar w:fldCharType="separate"/>
    </w:r>
    <w:r>
      <w:rPr>
        <w:noProof/>
      </w:rPr>
      <w:t>1</w:t>
    </w:r>
    <w:r>
      <w:rPr>
        <w:noProof/>
      </w:rPr>
      <w:fldChar w:fldCharType="end"/>
    </w:r>
  </w:p>
  <w:p w14:paraId="76F51C07" w14:textId="755FF727" w:rsidR="00A77BBD" w:rsidRDefault="00234033" w:rsidP="00234033">
    <w:pPr>
      <w:pStyle w:val="Footer"/>
    </w:pPr>
    <w:r>
      <w:fldChar w:fldCharType="begin"/>
    </w:r>
    <w:r>
      <w:instrText xml:space="preserve"> </w:instrText>
    </w:r>
    <w:r w:rsidRPr="00234033">
      <w:instrText>IF "</w:instrText>
    </w:r>
    <w:r w:rsidR="004210CE">
      <w:fldChar w:fldCharType="begin"/>
    </w:r>
    <w:r w:rsidR="004210CE">
      <w:instrText xml:space="preserve"> DOCVARIABLE "SWDocIDLocation" </w:instrText>
    </w:r>
    <w:r w:rsidR="004210CE">
      <w:fldChar w:fldCharType="separate"/>
    </w:r>
    <w:r w:rsidR="002C1561">
      <w:instrText>1</w:instrText>
    </w:r>
    <w:r w:rsidR="004210CE">
      <w:fldChar w:fldCharType="end"/>
    </w:r>
    <w:r w:rsidRPr="00234033">
      <w:instrText>" = "1" "</w:instrText>
    </w:r>
    <w:r w:rsidR="004210CE">
      <w:fldChar w:fldCharType="begin"/>
    </w:r>
    <w:r w:rsidR="004210CE">
      <w:instrText xml:space="preserve"> DOCPROPERTY "SWDocID" </w:instrText>
    </w:r>
    <w:r w:rsidR="004210CE">
      <w:fldChar w:fldCharType="separate"/>
    </w:r>
    <w:r w:rsidR="002C1561">
      <w:instrText>919000.10002/129624590v.2</w:instrText>
    </w:r>
    <w:r w:rsidR="004210CE">
      <w:fldChar w:fldCharType="end"/>
    </w:r>
    <w:r w:rsidRPr="00234033">
      <w:instrText>" ""</w:instrText>
    </w:r>
    <w:r>
      <w:instrText xml:space="preserve"> </w:instrText>
    </w:r>
    <w:r>
      <w:fldChar w:fldCharType="separate"/>
    </w:r>
    <w:r w:rsidR="002C1561">
      <w:rPr>
        <w:noProof/>
      </w:rPr>
      <w:t>919000.10002/129624590v.2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71B40" w14:textId="77777777" w:rsidR="00A77BBD" w:rsidRDefault="00A77BBD">
    <w:pP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1C1BA" w14:textId="77777777" w:rsidR="004210CE" w:rsidRDefault="004210CE" w:rsidP="00A77BBD">
      <w:pPr>
        <w:spacing w:after="0" w:line="240" w:lineRule="auto"/>
      </w:pPr>
      <w:r>
        <w:separator/>
      </w:r>
    </w:p>
  </w:footnote>
  <w:footnote w:type="continuationSeparator" w:id="0">
    <w:p w14:paraId="011F13E5" w14:textId="77777777" w:rsidR="004210CE" w:rsidRDefault="004210CE" w:rsidP="00A77BBD">
      <w:pPr>
        <w:spacing w:after="0" w:line="240" w:lineRule="auto"/>
      </w:pPr>
      <w:r>
        <w:continuationSeparator/>
      </w:r>
    </w:p>
  </w:footnote>
  <w:footnote w:id="1">
    <w:p w14:paraId="2E6C150A" w14:textId="61DBB3C7" w:rsidR="00A96467" w:rsidRDefault="00A96467">
      <w:pPr>
        <w:pStyle w:val="FootnoteText"/>
      </w:pPr>
      <w:r w:rsidRPr="00EE44CF">
        <w:rPr>
          <w:rStyle w:val="FootnoteReference"/>
          <w:vertAlign w:val="superscript"/>
        </w:rPr>
        <w:footnoteRef/>
      </w:r>
      <w:r>
        <w:t xml:space="preserve"> </w:t>
      </w:r>
      <w:r w:rsidR="00EE44CF">
        <w:t xml:space="preserve">Oxy Sales, L.P. and those affiliated debtors referenced in a certain declaration in respect of “first day” relief </w:t>
      </w:r>
      <w:r w:rsidR="00B9653E">
        <w:t xml:space="preserve">filed in the Bankruptcy Court </w:t>
      </w:r>
      <w:r w:rsidR="00EE44CF">
        <w:t xml:space="preserve">and defined together as “Oxy” or the “Debtors”. </w:t>
      </w:r>
    </w:p>
  </w:footnote>
  <w:footnote w:id="2">
    <w:p w14:paraId="7230E986" w14:textId="13ECBA71" w:rsidR="00A77BBD" w:rsidRPr="00472B68" w:rsidRDefault="00A77BBD" w:rsidP="00521E79">
      <w:pPr>
        <w:pStyle w:val="FootnoteText"/>
        <w:rPr>
          <w:szCs w:val="20"/>
        </w:rPr>
      </w:pPr>
      <w:r w:rsidRPr="00472B68">
        <w:rPr>
          <w:rStyle w:val="FootnoteReference"/>
          <w:rFonts w:eastAsia="Times New Roman" w:cs="Times New Roman"/>
          <w:color w:val="000000"/>
          <w:szCs w:val="20"/>
          <w:vertAlign w:val="superscript"/>
        </w:rPr>
        <w:footnoteRef/>
      </w:r>
      <w:r w:rsidR="00E47395" w:rsidRPr="00472B68">
        <w:rPr>
          <w:szCs w:val="20"/>
        </w:rPr>
        <w:t xml:space="preserve"> </w:t>
      </w:r>
      <w:r w:rsidRPr="00472B68">
        <w:rPr>
          <w:szCs w:val="20"/>
        </w:rPr>
        <w:t xml:space="preserve">The </w:t>
      </w:r>
      <w:r w:rsidR="00E82FD6">
        <w:rPr>
          <w:szCs w:val="20"/>
        </w:rPr>
        <w:t>Packler</w:t>
      </w:r>
      <w:r w:rsidRPr="00472B68">
        <w:rPr>
          <w:szCs w:val="20"/>
        </w:rPr>
        <w:t xml:space="preserve">s or </w:t>
      </w:r>
      <w:r w:rsidR="00E82FD6">
        <w:rPr>
          <w:szCs w:val="20"/>
        </w:rPr>
        <w:t>Packler</w:t>
      </w:r>
      <w:r w:rsidRPr="00472B68">
        <w:rPr>
          <w:szCs w:val="20"/>
        </w:rPr>
        <w:t xml:space="preserve"> family in this opinion means the Mortimer D</w:t>
      </w:r>
      <w:r w:rsidR="006A227C" w:rsidRPr="00472B68">
        <w:rPr>
          <w:szCs w:val="20"/>
        </w:rPr>
        <w:t xml:space="preserve">. </w:t>
      </w:r>
      <w:r w:rsidR="00E82FD6">
        <w:rPr>
          <w:szCs w:val="20"/>
        </w:rPr>
        <w:t>Packler</w:t>
      </w:r>
      <w:r w:rsidRPr="00472B68">
        <w:rPr>
          <w:szCs w:val="20"/>
        </w:rPr>
        <w:t xml:space="preserve"> Family (also known as “Side A” of the </w:t>
      </w:r>
      <w:r w:rsidR="00E82FD6">
        <w:rPr>
          <w:szCs w:val="20"/>
        </w:rPr>
        <w:t>Packler</w:t>
      </w:r>
      <w:r w:rsidRPr="00472B68">
        <w:rPr>
          <w:szCs w:val="20"/>
        </w:rPr>
        <w:t xml:space="preserve"> family) and the</w:t>
      </w:r>
      <w:r w:rsidR="00CC340C">
        <w:rPr>
          <w:szCs w:val="20"/>
        </w:rPr>
        <w:t xml:space="preserve"> Joe</w:t>
      </w:r>
      <w:r w:rsidR="006A227C" w:rsidRPr="00472B68">
        <w:rPr>
          <w:szCs w:val="20"/>
        </w:rPr>
        <w:t xml:space="preserve"> </w:t>
      </w:r>
      <w:r w:rsidR="00E82FD6">
        <w:rPr>
          <w:szCs w:val="20"/>
        </w:rPr>
        <w:t>Packler</w:t>
      </w:r>
      <w:r w:rsidRPr="00472B68">
        <w:rPr>
          <w:szCs w:val="20"/>
        </w:rPr>
        <w:t xml:space="preserve"> Family (also known as “Side B” of the </w:t>
      </w:r>
      <w:r w:rsidR="00E82FD6">
        <w:rPr>
          <w:szCs w:val="20"/>
        </w:rPr>
        <w:t>Packler</w:t>
      </w:r>
      <w:r w:rsidRPr="00472B68">
        <w:rPr>
          <w:szCs w:val="20"/>
        </w:rPr>
        <w:t xml:space="preserve"> family).</w:t>
      </w:r>
    </w:p>
  </w:footnote>
  <w:footnote w:id="3">
    <w:p w14:paraId="597BB217" w14:textId="7BB92E14" w:rsidR="00A77BBD" w:rsidRPr="00472B68" w:rsidRDefault="00A77BBD" w:rsidP="00521E79">
      <w:pPr>
        <w:pStyle w:val="FootnoteText"/>
        <w:rPr>
          <w:szCs w:val="20"/>
        </w:rPr>
      </w:pPr>
      <w:r w:rsidRPr="00472B68">
        <w:rPr>
          <w:rStyle w:val="FootnoteReference"/>
          <w:szCs w:val="20"/>
          <w:vertAlign w:val="superscript"/>
        </w:rPr>
        <w:footnoteRef/>
      </w:r>
      <w:r w:rsidR="00E47395" w:rsidRPr="00472B68">
        <w:rPr>
          <w:szCs w:val="20"/>
          <w:vertAlign w:val="superscript"/>
        </w:rPr>
        <w:t xml:space="preserve"> </w:t>
      </w:r>
      <w:r w:rsidRPr="00472B68">
        <w:rPr>
          <w:szCs w:val="20"/>
        </w:rPr>
        <w:t>The Plan refers to confirmed chapter 11 bankruptcy plan of reorganization.</w:t>
      </w:r>
    </w:p>
  </w:footnote>
  <w:footnote w:id="4">
    <w:p w14:paraId="796BF24C" w14:textId="5ACEB594" w:rsidR="00A77BBD" w:rsidRPr="00472B68" w:rsidRDefault="00A77BBD" w:rsidP="00521E79">
      <w:pPr>
        <w:pStyle w:val="FootnoteText"/>
        <w:rPr>
          <w:szCs w:val="20"/>
        </w:rPr>
      </w:pPr>
      <w:r w:rsidRPr="00472B68">
        <w:rPr>
          <w:rStyle w:val="FootnoteReference"/>
          <w:szCs w:val="20"/>
          <w:vertAlign w:val="superscript"/>
        </w:rPr>
        <w:footnoteRef/>
      </w:r>
      <w:r w:rsidR="00E47395" w:rsidRPr="00472B68">
        <w:rPr>
          <w:szCs w:val="20"/>
        </w:rPr>
        <w:t xml:space="preserve"> </w:t>
      </w:r>
      <w:r w:rsidRPr="00472B68">
        <w:rPr>
          <w:szCs w:val="20"/>
        </w:rPr>
        <w:t>It is true that many members of some creditor classes did not cast a vote</w:t>
      </w:r>
      <w:r w:rsidR="008B54D4" w:rsidRPr="00472B68">
        <w:rPr>
          <w:szCs w:val="20"/>
        </w:rPr>
        <w:t>,</w:t>
      </w:r>
      <w:r w:rsidRPr="00472B68">
        <w:rPr>
          <w:szCs w:val="20"/>
        </w:rPr>
        <w:t xml:space="preserve"> but the law provides that a plan must be approved</w:t>
      </w:r>
      <w:r w:rsidR="008B54D4" w:rsidRPr="00472B68">
        <w:rPr>
          <w:szCs w:val="20"/>
        </w:rPr>
        <w:t>,</w:t>
      </w:r>
      <w:r w:rsidRPr="00472B68">
        <w:rPr>
          <w:szCs w:val="20"/>
        </w:rPr>
        <w:t xml:space="preserve"> not by a supermajority of all eligible voters</w:t>
      </w:r>
      <w:r w:rsidR="008B54D4" w:rsidRPr="00472B68">
        <w:rPr>
          <w:szCs w:val="20"/>
        </w:rPr>
        <w:t>,</w:t>
      </w:r>
      <w:r w:rsidRPr="00472B68">
        <w:rPr>
          <w:szCs w:val="20"/>
        </w:rPr>
        <w:t xml:space="preserve"> but by a supermajority of all actual voters</w:t>
      </w:r>
      <w:r w:rsidR="006A227C" w:rsidRPr="00472B68">
        <w:rPr>
          <w:szCs w:val="20"/>
        </w:rPr>
        <w:t xml:space="preserve">.  </w:t>
      </w:r>
      <w:hyperlink r:id="rId1" w:history="1">
        <w:r w:rsidRPr="00472B68">
          <w:rPr>
            <w:szCs w:val="20"/>
          </w:rPr>
          <w:t>11 U.S.C</w:t>
        </w:r>
        <w:r w:rsidR="006A227C" w:rsidRPr="00472B68">
          <w:rPr>
            <w:szCs w:val="20"/>
          </w:rPr>
          <w:t xml:space="preserve">. </w:t>
        </w:r>
        <w:r w:rsidRPr="00472B68">
          <w:rPr>
            <w:szCs w:val="20"/>
          </w:rPr>
          <w:t>§ 1126</w:t>
        </w:r>
      </w:hyperlink>
      <w:r w:rsidR="006A227C" w:rsidRPr="00472B68">
        <w:rPr>
          <w:szCs w:val="20"/>
        </w:rPr>
        <w:t xml:space="preserve">.  </w:t>
      </w:r>
      <w:r w:rsidRPr="00472B68">
        <w:rPr>
          <w:szCs w:val="20"/>
        </w:rPr>
        <w:t>That being so</w:t>
      </w:r>
      <w:r w:rsidR="008B54D4" w:rsidRPr="00472B68">
        <w:rPr>
          <w:szCs w:val="20"/>
        </w:rPr>
        <w:t>,</w:t>
      </w:r>
      <w:r w:rsidRPr="00472B68">
        <w:rPr>
          <w:szCs w:val="20"/>
        </w:rPr>
        <w:t xml:space="preserve"> there is no merit to Appellants</w:t>
      </w:r>
      <w:r w:rsidR="008B54D4" w:rsidRPr="00472B68">
        <w:rPr>
          <w:szCs w:val="20"/>
        </w:rPr>
        <w:t>’</w:t>
      </w:r>
      <w:r w:rsidRPr="00472B68">
        <w:rPr>
          <w:szCs w:val="20"/>
        </w:rPr>
        <w:t xml:space="preserve"> argument that the court should not deem the Plan approved by a supermajority of the affected creditor classes.</w:t>
      </w:r>
    </w:p>
  </w:footnote>
  <w:footnote w:id="5">
    <w:p w14:paraId="3D3B3490" w14:textId="42479204" w:rsidR="00A77BBD" w:rsidRPr="00472B68" w:rsidRDefault="00A77BBD" w:rsidP="002F10FB">
      <w:pPr>
        <w:pStyle w:val="FootnoteText"/>
        <w:rPr>
          <w:szCs w:val="20"/>
        </w:rPr>
      </w:pPr>
      <w:r w:rsidRPr="00472B68">
        <w:rPr>
          <w:rStyle w:val="FootnoteReference"/>
          <w:szCs w:val="20"/>
          <w:vertAlign w:val="superscript"/>
        </w:rPr>
        <w:footnoteRef/>
      </w:r>
      <w:r w:rsidR="00807418" w:rsidRPr="00472B68">
        <w:rPr>
          <w:szCs w:val="20"/>
        </w:rPr>
        <w:t xml:space="preserve"> </w:t>
      </w:r>
      <w:r w:rsidRPr="00472B68">
        <w:rPr>
          <w:szCs w:val="20"/>
        </w:rPr>
        <w:t>While the City of Seattle objected to the Plan before the Bankruptcy Court</w:t>
      </w:r>
      <w:r w:rsidR="008B54D4" w:rsidRPr="00472B68">
        <w:rPr>
          <w:szCs w:val="20"/>
        </w:rPr>
        <w:t>,</w:t>
      </w:r>
      <w:r w:rsidRPr="00472B68">
        <w:rPr>
          <w:szCs w:val="20"/>
        </w:rPr>
        <w:t xml:space="preserve"> it did not appeal.</w:t>
      </w:r>
    </w:p>
  </w:footnote>
  <w:footnote w:id="6">
    <w:p w14:paraId="235C41F8" w14:textId="029F8BD6" w:rsidR="00A77BBD" w:rsidRPr="00472B68" w:rsidRDefault="00A77BBD" w:rsidP="00056A06">
      <w:pPr>
        <w:pStyle w:val="FootnoteText"/>
        <w:rPr>
          <w:szCs w:val="20"/>
        </w:rPr>
      </w:pPr>
      <w:r w:rsidRPr="00472B68">
        <w:rPr>
          <w:rStyle w:val="FootnoteReference"/>
          <w:szCs w:val="20"/>
          <w:vertAlign w:val="superscript"/>
        </w:rPr>
        <w:footnoteRef/>
      </w:r>
      <w:r w:rsidR="00807418" w:rsidRPr="00472B68">
        <w:rPr>
          <w:szCs w:val="20"/>
        </w:rPr>
        <w:t xml:space="preserve"> </w:t>
      </w:r>
      <w:r w:rsidRPr="00472B68">
        <w:rPr>
          <w:szCs w:val="20"/>
        </w:rPr>
        <w:t>The U.S</w:t>
      </w:r>
      <w:r w:rsidR="006A227C" w:rsidRPr="00472B68">
        <w:rPr>
          <w:szCs w:val="20"/>
        </w:rPr>
        <w:t xml:space="preserve">. </w:t>
      </w:r>
      <w:r w:rsidRPr="00472B68">
        <w:rPr>
          <w:szCs w:val="20"/>
        </w:rPr>
        <w:t xml:space="preserve">Trustee “is a DOJ official appointed by the Attorney General to supervise the administration of bankruptcy cases” and has standing under </w:t>
      </w:r>
      <w:hyperlink r:id="rId2" w:history="1">
        <w:r w:rsidRPr="00472B68">
          <w:rPr>
            <w:szCs w:val="20"/>
          </w:rPr>
          <w:t>11 U.S.C</w:t>
        </w:r>
        <w:r w:rsidR="006A227C" w:rsidRPr="00472B68">
          <w:rPr>
            <w:szCs w:val="20"/>
          </w:rPr>
          <w:t xml:space="preserve">. </w:t>
        </w:r>
        <w:r w:rsidRPr="00472B68">
          <w:rPr>
            <w:szCs w:val="20"/>
          </w:rPr>
          <w:t>§ 307</w:t>
        </w:r>
      </w:hyperlink>
      <w:r w:rsidRPr="00472B68">
        <w:rPr>
          <w:szCs w:val="20"/>
        </w:rPr>
        <w:t xml:space="preserve"> to appear in bankruptcy cases and “comment on proposed disclosure statements and chapter 11 plans.” (</w:t>
      </w:r>
      <w:hyperlink r:id="rId3" w:history="1">
        <w:r w:rsidR="005327BB" w:rsidRPr="00472B68">
          <w:rPr>
            <w:szCs w:val="20"/>
          </w:rPr>
          <w:t xml:space="preserve">Dkt. </w:t>
        </w:r>
        <w:r w:rsidRPr="00472B68">
          <w:rPr>
            <w:szCs w:val="20"/>
          </w:rPr>
          <w:t>No</w:t>
        </w:r>
        <w:r w:rsidR="006A227C" w:rsidRPr="00472B68">
          <w:rPr>
            <w:szCs w:val="20"/>
          </w:rPr>
          <w:t xml:space="preserve">. </w:t>
        </w:r>
        <w:r w:rsidRPr="00472B68">
          <w:rPr>
            <w:szCs w:val="20"/>
          </w:rPr>
          <w:t>91</w:t>
        </w:r>
        <w:r w:rsidR="008B54D4" w:rsidRPr="00472B68">
          <w:rPr>
            <w:szCs w:val="20"/>
          </w:rPr>
          <w:t>,</w:t>
        </w:r>
        <w:r w:rsidRPr="00472B68">
          <w:rPr>
            <w:szCs w:val="20"/>
          </w:rPr>
          <w:t xml:space="preserve"> at 8</w:t>
        </w:r>
      </w:hyperlink>
      <w:r w:rsidRPr="00472B68">
        <w:rPr>
          <w:szCs w:val="20"/>
        </w:rPr>
        <w:t xml:space="preserve"> (citing </w:t>
      </w:r>
      <w:hyperlink r:id="rId4" w:history="1">
        <w:r w:rsidRPr="00472B68">
          <w:rPr>
            <w:szCs w:val="20"/>
          </w:rPr>
          <w:t>28</w:t>
        </w:r>
      </w:hyperlink>
      <w:hyperlink r:id="rId5" w:history="1">
        <w:r w:rsidRPr="00472B68">
          <w:rPr>
            <w:szCs w:val="20"/>
          </w:rPr>
          <w:t xml:space="preserve"> U.S.C</w:t>
        </w:r>
        <w:r w:rsidR="006A227C" w:rsidRPr="00472B68">
          <w:rPr>
            <w:szCs w:val="20"/>
          </w:rPr>
          <w:t xml:space="preserve">. </w:t>
        </w:r>
        <w:r w:rsidRPr="00472B68">
          <w:rPr>
            <w:szCs w:val="20"/>
          </w:rPr>
          <w:t xml:space="preserve">§§ </w:t>
        </w:r>
      </w:hyperlink>
      <w:hyperlink r:id="rId6" w:history="1">
        <w:r w:rsidRPr="00472B68">
          <w:rPr>
            <w:szCs w:val="20"/>
          </w:rPr>
          <w:t>581-589</w:t>
        </w:r>
      </w:hyperlink>
      <w:r w:rsidRPr="00472B68">
        <w:rPr>
          <w:szCs w:val="20"/>
        </w:rPr>
        <w:t xml:space="preserve"> and </w:t>
      </w:r>
      <w:hyperlink r:id="rId7" w:history="1">
        <w:r w:rsidRPr="00472B68">
          <w:rPr>
            <w:szCs w:val="20"/>
          </w:rPr>
          <w:t>28</w:t>
        </w:r>
      </w:hyperlink>
      <w:hyperlink r:id="rId8" w:history="1">
        <w:r w:rsidRPr="00472B68">
          <w:rPr>
            <w:szCs w:val="20"/>
          </w:rPr>
          <w:t xml:space="preserve"> U.S.C</w:t>
        </w:r>
        <w:r w:rsidR="006A227C" w:rsidRPr="00472B68">
          <w:rPr>
            <w:szCs w:val="20"/>
          </w:rPr>
          <w:t xml:space="preserve">. </w:t>
        </w:r>
        <w:r w:rsidRPr="00472B68">
          <w:rPr>
            <w:szCs w:val="20"/>
          </w:rPr>
          <w:t xml:space="preserve">§ </w:t>
        </w:r>
      </w:hyperlink>
      <w:hyperlink r:id="rId9" w:history="1">
        <w:r w:rsidRPr="00472B68">
          <w:rPr>
            <w:szCs w:val="20"/>
          </w:rPr>
          <w:t>586</w:t>
        </w:r>
      </w:hyperlink>
      <w:hyperlink r:id="rId10" w:history="1">
        <w:r w:rsidRPr="00472B68">
          <w:rPr>
            <w:szCs w:val="20"/>
          </w:rPr>
          <w:t>(a)(3)(B))</w:t>
        </w:r>
      </w:hyperlink>
      <w:r w:rsidRPr="00472B68">
        <w:rPr>
          <w:szCs w:val="20"/>
        </w:rPr>
        <w:t>.</w:t>
      </w:r>
    </w:p>
  </w:footnote>
  <w:footnote w:id="7">
    <w:p w14:paraId="255B8FC7" w14:textId="0193CDF9" w:rsidR="00A77BBD" w:rsidRPr="00472B68" w:rsidRDefault="00A77BBD" w:rsidP="0024779E">
      <w:pPr>
        <w:pStyle w:val="FootnoteText"/>
        <w:rPr>
          <w:szCs w:val="20"/>
        </w:rPr>
      </w:pPr>
      <w:r w:rsidRPr="00472B68">
        <w:rPr>
          <w:rStyle w:val="FootnoteReference"/>
          <w:szCs w:val="20"/>
          <w:vertAlign w:val="superscript"/>
        </w:rPr>
        <w:footnoteRef/>
      </w:r>
      <w:r w:rsidR="00807418" w:rsidRPr="00472B68">
        <w:rPr>
          <w:szCs w:val="20"/>
        </w:rPr>
        <w:t xml:space="preserve"> </w:t>
      </w:r>
      <w:r w:rsidR="00CC340C">
        <w:rPr>
          <w:szCs w:val="20"/>
        </w:rPr>
        <w:t>Ida Litigant</w:t>
      </w:r>
      <w:r w:rsidR="008B54D4" w:rsidRPr="00472B68">
        <w:rPr>
          <w:szCs w:val="20"/>
        </w:rPr>
        <w:t>,</w:t>
      </w:r>
      <w:r w:rsidRPr="00472B68">
        <w:rPr>
          <w:szCs w:val="20"/>
        </w:rPr>
        <w:t xml:space="preserve"> </w:t>
      </w:r>
      <w:r w:rsidR="00CC340C">
        <w:rPr>
          <w:szCs w:val="20"/>
        </w:rPr>
        <w:t>C</w:t>
      </w:r>
      <w:r w:rsidRPr="00472B68">
        <w:rPr>
          <w:szCs w:val="20"/>
        </w:rPr>
        <w:t>ath</w:t>
      </w:r>
      <w:r w:rsidR="00CC340C">
        <w:rPr>
          <w:szCs w:val="20"/>
        </w:rPr>
        <w:t>y</w:t>
      </w:r>
      <w:r w:rsidRPr="00472B68">
        <w:rPr>
          <w:szCs w:val="20"/>
        </w:rPr>
        <w:t xml:space="preserve"> </w:t>
      </w:r>
      <w:r w:rsidR="00E82FD6">
        <w:rPr>
          <w:szCs w:val="20"/>
        </w:rPr>
        <w:t>Packler</w:t>
      </w:r>
      <w:r w:rsidR="008B54D4" w:rsidRPr="00472B68">
        <w:rPr>
          <w:szCs w:val="20"/>
        </w:rPr>
        <w:t>,</w:t>
      </w:r>
      <w:r w:rsidRPr="00472B68">
        <w:rPr>
          <w:szCs w:val="20"/>
        </w:rPr>
        <w:t xml:space="preserve"> </w:t>
      </w:r>
      <w:r w:rsidR="00CC340C">
        <w:rPr>
          <w:szCs w:val="20"/>
        </w:rPr>
        <w:t xml:space="preserve">Fred </w:t>
      </w:r>
      <w:r w:rsidR="00E82FD6">
        <w:rPr>
          <w:szCs w:val="20"/>
        </w:rPr>
        <w:t>Packler</w:t>
      </w:r>
      <w:r w:rsidR="008B54D4" w:rsidRPr="00472B68">
        <w:rPr>
          <w:szCs w:val="20"/>
        </w:rPr>
        <w:t>,</w:t>
      </w:r>
      <w:r w:rsidRPr="00472B68">
        <w:rPr>
          <w:szCs w:val="20"/>
        </w:rPr>
        <w:t xml:space="preserve"> T</w:t>
      </w:r>
      <w:r w:rsidR="00CC340C">
        <w:rPr>
          <w:szCs w:val="20"/>
        </w:rPr>
        <w:t>essa</w:t>
      </w:r>
      <w:r w:rsidRPr="00472B68">
        <w:rPr>
          <w:szCs w:val="20"/>
        </w:rPr>
        <w:t xml:space="preserve"> </w:t>
      </w:r>
      <w:r w:rsidR="00E82FD6">
        <w:rPr>
          <w:szCs w:val="20"/>
        </w:rPr>
        <w:t>Packler</w:t>
      </w:r>
      <w:r w:rsidR="008B54D4" w:rsidRPr="00472B68">
        <w:rPr>
          <w:szCs w:val="20"/>
        </w:rPr>
        <w:t>,</w:t>
      </w:r>
      <w:r w:rsidRPr="00472B68">
        <w:rPr>
          <w:szCs w:val="20"/>
        </w:rPr>
        <w:t xml:space="preserve"> </w:t>
      </w:r>
      <w:r w:rsidR="00CC340C">
        <w:rPr>
          <w:szCs w:val="20"/>
        </w:rPr>
        <w:t xml:space="preserve">Dick </w:t>
      </w:r>
      <w:r w:rsidR="00E82FD6">
        <w:rPr>
          <w:szCs w:val="20"/>
        </w:rPr>
        <w:t>Packler</w:t>
      </w:r>
      <w:r w:rsidR="008B54D4" w:rsidRPr="00472B68">
        <w:rPr>
          <w:szCs w:val="20"/>
        </w:rPr>
        <w:t>,</w:t>
      </w:r>
      <w:r w:rsidRPr="00472B68">
        <w:rPr>
          <w:szCs w:val="20"/>
        </w:rPr>
        <w:t xml:space="preserve"> Jon </w:t>
      </w:r>
      <w:r w:rsidR="00E82FD6">
        <w:rPr>
          <w:szCs w:val="20"/>
        </w:rPr>
        <w:t>Packler</w:t>
      </w:r>
      <w:r w:rsidR="008B54D4" w:rsidRPr="00472B68">
        <w:rPr>
          <w:szCs w:val="20"/>
        </w:rPr>
        <w:t>,</w:t>
      </w:r>
      <w:r w:rsidRPr="00472B68">
        <w:rPr>
          <w:szCs w:val="20"/>
        </w:rPr>
        <w:t xml:space="preserve"> and D</w:t>
      </w:r>
      <w:r w:rsidR="00CC340C">
        <w:rPr>
          <w:szCs w:val="20"/>
        </w:rPr>
        <w:t>on</w:t>
      </w:r>
      <w:r w:rsidRPr="00472B68">
        <w:rPr>
          <w:szCs w:val="20"/>
        </w:rPr>
        <w:t xml:space="preserve"> </w:t>
      </w:r>
      <w:r w:rsidR="00E82FD6">
        <w:rPr>
          <w:szCs w:val="20"/>
        </w:rPr>
        <w:t>Packler</w:t>
      </w:r>
      <w:r w:rsidRPr="00472B68">
        <w:rPr>
          <w:szCs w:val="20"/>
        </w:rPr>
        <w:t xml:space="preserve"> were at some or all relevant times directors of </w:t>
      </w:r>
      <w:r w:rsidR="006239B5">
        <w:rPr>
          <w:szCs w:val="20"/>
        </w:rPr>
        <w:t>Oxy</w:t>
      </w:r>
      <w:r w:rsidRPr="00472B68">
        <w:rPr>
          <w:szCs w:val="20"/>
        </w:rPr>
        <w:t xml:space="preserve"> and its related enterprises</w:t>
      </w:r>
      <w:r w:rsidR="006A227C" w:rsidRPr="00472B68">
        <w:rPr>
          <w:szCs w:val="20"/>
        </w:rPr>
        <w:t xml:space="preserve">.  </w:t>
      </w:r>
      <w:r w:rsidRPr="00472B68">
        <w:rPr>
          <w:szCs w:val="20"/>
        </w:rPr>
        <w:t>Mortimer</w:t>
      </w:r>
      <w:r w:rsidR="00110F91" w:rsidRPr="00472B68">
        <w:rPr>
          <w:szCs w:val="20"/>
        </w:rPr>
        <w:t xml:space="preserve"> D. </w:t>
      </w:r>
      <w:r w:rsidR="00E82FD6">
        <w:rPr>
          <w:szCs w:val="20"/>
        </w:rPr>
        <w:t>Packler</w:t>
      </w:r>
      <w:r w:rsidRPr="00472B68">
        <w:rPr>
          <w:szCs w:val="20"/>
        </w:rPr>
        <w:t xml:space="preserve"> and </w:t>
      </w:r>
      <w:r w:rsidR="006E3B83">
        <w:rPr>
          <w:szCs w:val="20"/>
        </w:rPr>
        <w:t>Joe</w:t>
      </w:r>
      <w:r w:rsidRPr="00472B68">
        <w:rPr>
          <w:szCs w:val="20"/>
        </w:rPr>
        <w:t xml:space="preserve"> </w:t>
      </w:r>
      <w:r w:rsidR="00E82FD6">
        <w:rPr>
          <w:szCs w:val="20"/>
        </w:rPr>
        <w:t>Packler</w:t>
      </w:r>
      <w:r w:rsidRPr="00472B68">
        <w:rPr>
          <w:szCs w:val="20"/>
        </w:rPr>
        <w:t xml:space="preserve"> had management roles at the company as co-chief executive officers; </w:t>
      </w:r>
      <w:r w:rsidR="00473ECA">
        <w:rPr>
          <w:szCs w:val="20"/>
        </w:rPr>
        <w:t>Ron</w:t>
      </w:r>
      <w:r w:rsidRPr="00472B68">
        <w:rPr>
          <w:szCs w:val="20"/>
        </w:rPr>
        <w:t xml:space="preserve"> </w:t>
      </w:r>
      <w:r w:rsidR="00E82FD6">
        <w:rPr>
          <w:szCs w:val="20"/>
        </w:rPr>
        <w:t>Packler</w:t>
      </w:r>
      <w:r w:rsidRPr="00472B68">
        <w:rPr>
          <w:szCs w:val="20"/>
        </w:rPr>
        <w:t xml:space="preserve"> also served as president; and Mortimer D.A</w:t>
      </w:r>
      <w:r w:rsidR="006A227C" w:rsidRPr="00472B68">
        <w:rPr>
          <w:szCs w:val="20"/>
        </w:rPr>
        <w:t xml:space="preserve">.  </w:t>
      </w:r>
      <w:r w:rsidR="00E82FD6">
        <w:rPr>
          <w:szCs w:val="20"/>
        </w:rPr>
        <w:t>Packler</w:t>
      </w:r>
      <w:r w:rsidR="008B54D4" w:rsidRPr="00472B68">
        <w:rPr>
          <w:szCs w:val="20"/>
        </w:rPr>
        <w:t>,</w:t>
      </w:r>
      <w:r w:rsidRPr="00472B68">
        <w:rPr>
          <w:szCs w:val="20"/>
        </w:rPr>
        <w:t xml:space="preserve"> Ilene </w:t>
      </w:r>
      <w:r w:rsidR="00E82FD6">
        <w:rPr>
          <w:szCs w:val="20"/>
        </w:rPr>
        <w:t>Packler</w:t>
      </w:r>
      <w:r w:rsidRPr="00472B68">
        <w:rPr>
          <w:szCs w:val="20"/>
        </w:rPr>
        <w:t xml:space="preserve"> Lefcourt</w:t>
      </w:r>
      <w:r w:rsidR="008B54D4" w:rsidRPr="00472B68">
        <w:rPr>
          <w:szCs w:val="20"/>
        </w:rPr>
        <w:t>,</w:t>
      </w:r>
      <w:r w:rsidRPr="00472B68">
        <w:rPr>
          <w:szCs w:val="20"/>
        </w:rPr>
        <w:t xml:space="preserve"> and Kathe </w:t>
      </w:r>
      <w:r w:rsidR="00E82FD6">
        <w:rPr>
          <w:szCs w:val="20"/>
        </w:rPr>
        <w:t>Packler</w:t>
      </w:r>
      <w:r w:rsidRPr="00472B68">
        <w:rPr>
          <w:szCs w:val="20"/>
        </w:rPr>
        <w:t xml:space="preserve"> held officer roles as vice presidents</w:t>
      </w:r>
      <w:r w:rsidR="006A227C" w:rsidRPr="00472B68">
        <w:rPr>
          <w:szCs w:val="20"/>
        </w:rPr>
        <w:t xml:space="preserve">.  </w:t>
      </w:r>
      <w:r w:rsidRPr="00472B68">
        <w:rPr>
          <w:szCs w:val="20"/>
        </w:rPr>
        <w:t xml:space="preserve">Mariana </w:t>
      </w:r>
      <w:r w:rsidR="00E82FD6">
        <w:rPr>
          <w:szCs w:val="20"/>
        </w:rPr>
        <w:t>Packler</w:t>
      </w:r>
      <w:r w:rsidRPr="00472B68">
        <w:rPr>
          <w:szCs w:val="20"/>
        </w:rPr>
        <w:t xml:space="preserve"> worked at </w:t>
      </w:r>
      <w:r w:rsidR="006239B5">
        <w:rPr>
          <w:szCs w:val="20"/>
        </w:rPr>
        <w:t>Oxy</w:t>
      </w:r>
      <w:r w:rsidRPr="00472B68">
        <w:rPr>
          <w:szCs w:val="20"/>
        </w:rPr>
        <w:t xml:space="preserve"> in research and development.</w:t>
      </w:r>
    </w:p>
  </w:footnote>
  <w:footnote w:id="8">
    <w:p w14:paraId="5569FD07" w14:textId="788DE87C" w:rsidR="00A77BBD" w:rsidRPr="00472B68" w:rsidRDefault="00A77BBD" w:rsidP="00A864B6">
      <w:pPr>
        <w:pStyle w:val="FootnoteText"/>
      </w:pPr>
      <w:r w:rsidRPr="00472B68">
        <w:rPr>
          <w:rStyle w:val="FootnoteReference"/>
          <w:rFonts w:eastAsia="Times New Roman" w:cs="Times New Roman"/>
          <w:color w:val="000000"/>
          <w:szCs w:val="20"/>
          <w:vertAlign w:val="superscript"/>
        </w:rPr>
        <w:footnoteRef/>
      </w:r>
      <w:r w:rsidR="002C31ED" w:rsidRPr="00472B68">
        <w:rPr>
          <w:color w:val="000000"/>
        </w:rPr>
        <w:t xml:space="preserve"> </w:t>
      </w:r>
      <w:r w:rsidRPr="00472B68">
        <w:rPr>
          <w:color w:val="000000"/>
        </w:rPr>
        <w:t>“</w:t>
      </w:r>
      <w:r w:rsidRPr="00472B68">
        <w:t xml:space="preserve">all </w:t>
      </w:r>
      <w:r w:rsidR="00110F91" w:rsidRPr="00472B68">
        <w:t xml:space="preserve">. . . </w:t>
      </w:r>
      <w:r w:rsidRPr="00A864B6">
        <w:t>present</w:t>
      </w:r>
      <w:r w:rsidR="008B54D4" w:rsidRPr="00472B68">
        <w:t>,</w:t>
      </w:r>
      <w:r w:rsidRPr="00472B68">
        <w:t xml:space="preserve"> former</w:t>
      </w:r>
      <w:r w:rsidR="008B54D4" w:rsidRPr="00472B68">
        <w:t>,</w:t>
      </w:r>
      <w:r w:rsidRPr="00472B68">
        <w:t xml:space="preserve"> or future masters</w:t>
      </w:r>
      <w:r w:rsidR="008B54D4" w:rsidRPr="00472B68">
        <w:t>,</w:t>
      </w:r>
      <w:r w:rsidRPr="00472B68">
        <w:t xml:space="preserve"> insurers</w:t>
      </w:r>
      <w:r w:rsidR="008B54D4" w:rsidRPr="00472B68">
        <w:t>,</w:t>
      </w:r>
      <w:r w:rsidRPr="00472B68">
        <w:t xml:space="preserve"> principals</w:t>
      </w:r>
      <w:r w:rsidR="008B54D4" w:rsidRPr="00472B68">
        <w:t>,</w:t>
      </w:r>
      <w:r w:rsidRPr="00472B68">
        <w:t xml:space="preserve"> agents</w:t>
      </w:r>
      <w:r w:rsidR="008B54D4" w:rsidRPr="00472B68">
        <w:t>,</w:t>
      </w:r>
      <w:r w:rsidRPr="00472B68">
        <w:t xml:space="preserve"> assigns</w:t>
      </w:r>
      <w:r w:rsidR="008B54D4" w:rsidRPr="00472B68">
        <w:t>,</w:t>
      </w:r>
      <w:r w:rsidRPr="00472B68">
        <w:t xml:space="preserve"> officers</w:t>
      </w:r>
      <w:r w:rsidR="008B54D4" w:rsidRPr="00472B68">
        <w:t>,</w:t>
      </w:r>
      <w:r w:rsidRPr="00472B68">
        <w:t xml:space="preserve"> directors</w:t>
      </w:r>
      <w:r w:rsidR="008B54D4" w:rsidRPr="00472B68">
        <w:t>,</w:t>
      </w:r>
      <w:r w:rsidRPr="00472B68">
        <w:t xml:space="preserve"> shareholders</w:t>
      </w:r>
      <w:r w:rsidR="008B54D4" w:rsidRPr="00472B68">
        <w:t>,</w:t>
      </w:r>
      <w:r w:rsidRPr="00472B68">
        <w:t xml:space="preserve"> owners</w:t>
      </w:r>
      <w:r w:rsidR="008B54D4" w:rsidRPr="00472B68">
        <w:t>,</w:t>
      </w:r>
      <w:r w:rsidRPr="00472B68">
        <w:t xml:space="preserve"> employees</w:t>
      </w:r>
      <w:r w:rsidR="008B54D4" w:rsidRPr="00472B68">
        <w:t>,</w:t>
      </w:r>
      <w:r w:rsidRPr="00472B68">
        <w:t xml:space="preserve"> attorneys</w:t>
      </w:r>
      <w:r w:rsidR="008B54D4" w:rsidRPr="00472B68">
        <w:t>,</w:t>
      </w:r>
      <w:r w:rsidRPr="00472B68">
        <w:t xml:space="preserve"> representatives</w:t>
      </w:r>
      <w:r w:rsidR="006A227C" w:rsidRPr="00472B68">
        <w:t xml:space="preserve">.  </w:t>
      </w:r>
      <w:r w:rsidRPr="00472B68">
        <w:t>subsidiaries</w:t>
      </w:r>
      <w:r w:rsidR="008B54D4" w:rsidRPr="00472B68">
        <w:t>,</w:t>
      </w:r>
      <w:r w:rsidRPr="00472B68">
        <w:t xml:space="preserve"> divisions</w:t>
      </w:r>
      <w:r w:rsidR="008B54D4" w:rsidRPr="00472B68">
        <w:t>,</w:t>
      </w:r>
      <w:r w:rsidRPr="00472B68">
        <w:t xml:space="preserve"> affiliates</w:t>
      </w:r>
      <w:r w:rsidR="008B54D4" w:rsidRPr="00472B68">
        <w:t>,</w:t>
      </w:r>
      <w:r w:rsidRPr="00472B68">
        <w:t xml:space="preserve"> associated companies</w:t>
      </w:r>
      <w:r w:rsidR="008B54D4" w:rsidRPr="00472B68">
        <w:t>,</w:t>
      </w:r>
      <w:r w:rsidRPr="00472B68">
        <w:t xml:space="preserve"> holding companies</w:t>
      </w:r>
      <w:r w:rsidR="008B54D4" w:rsidRPr="00472B68">
        <w:t>,</w:t>
      </w:r>
      <w:r w:rsidRPr="00472B68">
        <w:t xml:space="preserve"> partnerships</w:t>
      </w:r>
      <w:r w:rsidR="008B54D4" w:rsidRPr="00472B68">
        <w:t>,</w:t>
      </w:r>
      <w:r w:rsidRPr="00472B68">
        <w:t xml:space="preserve"> and joint ventures </w:t>
      </w:r>
      <w:r w:rsidR="00110F91" w:rsidRPr="00472B68">
        <w:t xml:space="preserve">. . . </w:t>
      </w:r>
      <w:r w:rsidRPr="00472B68">
        <w:t xml:space="preserve">“ </w:t>
      </w:r>
    </w:p>
  </w:footnote>
  <w:footnote w:id="9">
    <w:p w14:paraId="5E1CE2B6" w14:textId="7A827AEE" w:rsidR="00A77BBD" w:rsidRPr="00472B68" w:rsidRDefault="00A77BBD" w:rsidP="00D16FD7">
      <w:pPr>
        <w:pStyle w:val="FootnoteText"/>
        <w:rPr>
          <w:szCs w:val="20"/>
        </w:rPr>
      </w:pPr>
      <w:r w:rsidRPr="00472B68">
        <w:rPr>
          <w:rStyle w:val="FootnoteReference"/>
          <w:rFonts w:eastAsia="Times New Roman" w:cs="Times New Roman"/>
          <w:color w:val="000000"/>
          <w:szCs w:val="20"/>
          <w:vertAlign w:val="superscript"/>
        </w:rPr>
        <w:footnoteRef/>
      </w:r>
      <w:r w:rsidR="00D16FD7" w:rsidRPr="00472B68">
        <w:rPr>
          <w:rFonts w:eastAsia="Times New Roman" w:cs="Times New Roman"/>
          <w:color w:val="000000"/>
          <w:szCs w:val="20"/>
        </w:rPr>
        <w:t xml:space="preserve"> </w:t>
      </w:r>
      <w:r w:rsidR="006239B5">
        <w:rPr>
          <w:szCs w:val="20"/>
        </w:rPr>
        <w:t>Oxy</w:t>
      </w:r>
      <w:r w:rsidRPr="00472B68">
        <w:rPr>
          <w:szCs w:val="20"/>
        </w:rPr>
        <w:t xml:space="preserve"> Frederick Company is an affiliate of </w:t>
      </w:r>
      <w:r w:rsidR="006239B5">
        <w:rPr>
          <w:szCs w:val="20"/>
        </w:rPr>
        <w:t>Oxy</w:t>
      </w:r>
      <w:r w:rsidRPr="00472B68">
        <w:rPr>
          <w:szCs w:val="20"/>
        </w:rPr>
        <w:t xml:space="preserve"> that manufactures and distributes </w:t>
      </w:r>
      <w:r w:rsidR="00E82FD6">
        <w:rPr>
          <w:szCs w:val="20"/>
        </w:rPr>
        <w:t>Oxy</w:t>
      </w:r>
      <w:r w:rsidR="00B747C6">
        <w:rPr>
          <w:szCs w:val="20"/>
        </w:rPr>
        <w:t>con</w:t>
      </w:r>
      <w:r w:rsidR="006A227C" w:rsidRPr="00472B68">
        <w:rPr>
          <w:szCs w:val="20"/>
        </w:rPr>
        <w:t xml:space="preserve">.  </w:t>
      </w:r>
    </w:p>
  </w:footnote>
  <w:footnote w:id="10">
    <w:p w14:paraId="0770ACD5" w14:textId="206A2D0E" w:rsidR="00A77BBD" w:rsidRPr="00472B68" w:rsidRDefault="00A77BBD" w:rsidP="00A864B6">
      <w:pPr>
        <w:pStyle w:val="FootnoteText"/>
        <w:rPr>
          <w:rStyle w:val="FootnoteReference"/>
          <w:szCs w:val="20"/>
        </w:rPr>
      </w:pPr>
      <w:r w:rsidRPr="00472B68">
        <w:rPr>
          <w:rStyle w:val="FootnoteReference"/>
          <w:rFonts w:eastAsia="Times New Roman" w:cs="Times New Roman"/>
          <w:color w:val="000000"/>
          <w:szCs w:val="20"/>
          <w:vertAlign w:val="superscript"/>
        </w:rPr>
        <w:footnoteRef/>
      </w:r>
      <w:r w:rsidR="002924D9" w:rsidRPr="00472B68">
        <w:t xml:space="preserve"> </w:t>
      </w:r>
      <w:r w:rsidRPr="00472B68">
        <w:rPr>
          <w:rStyle w:val="FootnoteReference"/>
          <w:szCs w:val="20"/>
        </w:rPr>
        <w:t xml:space="preserve">The fine and </w:t>
      </w:r>
      <w:r w:rsidRPr="00A864B6">
        <w:rPr>
          <w:rStyle w:val="FootnoteReference"/>
        </w:rPr>
        <w:t>payments</w:t>
      </w:r>
      <w:r w:rsidRPr="00472B68">
        <w:rPr>
          <w:rStyle w:val="FootnoteReference"/>
          <w:szCs w:val="20"/>
        </w:rPr>
        <w:t xml:space="preserve"> include:  approximately $276.1 million forfeited to the United States; approximately $160 million paid to federal and state government agencies to resolve liability for false claims made to Medicaid and other government healthcare programs; approximately $130 million set aside to resolve private civil claims; approximately</w:t>
      </w:r>
      <w:r w:rsidR="002924D9" w:rsidRPr="00472B68">
        <w:rPr>
          <w:rStyle w:val="FootnoteReference"/>
          <w:szCs w:val="20"/>
        </w:rPr>
        <w:t xml:space="preserve"> </w:t>
      </w:r>
      <w:r w:rsidRPr="00472B68">
        <w:rPr>
          <w:rStyle w:val="FootnoteReference"/>
          <w:szCs w:val="20"/>
        </w:rPr>
        <w:t>$5.3 million paid to the Virginia Attorney General</w:t>
      </w:r>
      <w:r w:rsidR="008B54D4" w:rsidRPr="00472B68">
        <w:rPr>
          <w:rStyle w:val="FootnoteReference"/>
          <w:szCs w:val="20"/>
        </w:rPr>
        <w:t>’</w:t>
      </w:r>
      <w:r w:rsidRPr="00472B68">
        <w:rPr>
          <w:rStyle w:val="FootnoteReference"/>
          <w:szCs w:val="20"/>
        </w:rPr>
        <w:t>s Medicaid Fraud Control Unit; approximately $20 million paid to</w:t>
      </w:r>
      <w:r w:rsidR="002924D9" w:rsidRPr="00472B68">
        <w:rPr>
          <w:rStyle w:val="FootnoteReference"/>
          <w:szCs w:val="20"/>
        </w:rPr>
        <w:t xml:space="preserve"> </w:t>
      </w:r>
      <w:r w:rsidRPr="00472B68">
        <w:rPr>
          <w:rStyle w:val="FootnoteReference"/>
          <w:szCs w:val="20"/>
        </w:rPr>
        <w:t>fund the Virginia Prescription Monitoring Program; approximately $3 million to Federal and State Medicaid programs for improperly calculated Medicaid rebates; approximately $5 million in monitoring costs; and a $500</w:t>
      </w:r>
      <w:r w:rsidR="008B54D4" w:rsidRPr="00472B68">
        <w:rPr>
          <w:rStyle w:val="FootnoteReference"/>
          <w:szCs w:val="20"/>
        </w:rPr>
        <w:t>,</w:t>
      </w:r>
      <w:r w:rsidRPr="00472B68">
        <w:rPr>
          <w:rStyle w:val="FootnoteReference"/>
          <w:szCs w:val="20"/>
        </w:rPr>
        <w:t>000 maximum statutory fine.</w:t>
      </w:r>
    </w:p>
  </w:footnote>
  <w:footnote w:id="11">
    <w:p w14:paraId="08A318E9" w14:textId="1E255FE0" w:rsidR="00A77BBD" w:rsidRPr="00472B68" w:rsidRDefault="00A77BBD" w:rsidP="00C7468B">
      <w:pPr>
        <w:pStyle w:val="FootnoteText"/>
      </w:pPr>
      <w:r w:rsidRPr="00472B68">
        <w:rPr>
          <w:rStyle w:val="FootnoteReference"/>
          <w:rFonts w:eastAsia="Times New Roman" w:cs="Times New Roman"/>
          <w:color w:val="000000"/>
          <w:szCs w:val="20"/>
          <w:vertAlign w:val="superscript"/>
        </w:rPr>
        <w:footnoteRef/>
      </w:r>
      <w:r w:rsidR="000004B0">
        <w:t xml:space="preserve"> </w:t>
      </w:r>
      <w:r w:rsidRPr="00472B68">
        <w:t xml:space="preserve">The </w:t>
      </w:r>
      <w:r w:rsidR="00E82FD6">
        <w:t>Packler</w:t>
      </w:r>
      <w:r w:rsidRPr="00472B68">
        <w:t xml:space="preserve">s do not concede the truth of </w:t>
      </w:r>
      <w:r w:rsidR="006239B5">
        <w:t>Oxy</w:t>
      </w:r>
      <w:r w:rsidR="008B54D4" w:rsidRPr="00472B68">
        <w:t>’</w:t>
      </w:r>
      <w:r w:rsidRPr="00472B68">
        <w:t>s admissions.</w:t>
      </w:r>
    </w:p>
  </w:footnote>
  <w:footnote w:id="12">
    <w:p w14:paraId="7F102CC4" w14:textId="53A531C1" w:rsidR="00A77BBD" w:rsidRPr="00472B68" w:rsidRDefault="00A77BBD" w:rsidP="00C7468B">
      <w:pPr>
        <w:pStyle w:val="FootnoteText"/>
      </w:pPr>
      <w:r w:rsidRPr="00472B68">
        <w:rPr>
          <w:rStyle w:val="FootnoteReference"/>
          <w:rFonts w:eastAsia="Times New Roman" w:cs="Times New Roman"/>
          <w:color w:val="000000"/>
          <w:szCs w:val="20"/>
          <w:vertAlign w:val="superscript"/>
        </w:rPr>
        <w:footnoteRef/>
      </w:r>
      <w:r w:rsidR="00013BBA">
        <w:t xml:space="preserve"> </w:t>
      </w:r>
      <w:r w:rsidRPr="00472B68">
        <w:rPr>
          <w:i/>
          <w:iCs/>
        </w:rPr>
        <w:t xml:space="preserve">Provinces plan legal push against </w:t>
      </w:r>
      <w:r w:rsidR="006239B5">
        <w:rPr>
          <w:i/>
          <w:iCs/>
        </w:rPr>
        <w:t>Oxy</w:t>
      </w:r>
      <w:r w:rsidRPr="00472B68">
        <w:rPr>
          <w:i/>
          <w:iCs/>
        </w:rPr>
        <w:t xml:space="preserve"> Pharma in wake of </w:t>
      </w:r>
      <w:r w:rsidR="002F10FB" w:rsidRPr="00472B68">
        <w:rPr>
          <w:i/>
          <w:iCs/>
        </w:rPr>
        <w:t xml:space="preserve">U.S. </w:t>
      </w:r>
      <w:r w:rsidRPr="00472B68">
        <w:rPr>
          <w:i/>
          <w:iCs/>
        </w:rPr>
        <w:t>opioid deal</w:t>
      </w:r>
      <w:r w:rsidR="008B54D4" w:rsidRPr="00472B68">
        <w:t>,</w:t>
      </w:r>
      <w:r w:rsidRPr="00472B68">
        <w:t xml:space="preserve"> The Globe and Mail (</w:t>
      </w:r>
      <w:r w:rsidR="00013BBA">
        <w:t xml:space="preserve">Sept. </w:t>
      </w:r>
      <w:r w:rsidRPr="00472B68">
        <w:t>3</w:t>
      </w:r>
      <w:r w:rsidR="008B54D4" w:rsidRPr="00472B68">
        <w:t>,</w:t>
      </w:r>
      <w:r w:rsidRPr="00472B68">
        <w:t xml:space="preserve"> 2021)</w:t>
      </w:r>
      <w:r w:rsidR="008B54D4" w:rsidRPr="00472B68">
        <w:t>,</w:t>
      </w:r>
      <w:r w:rsidR="00E4309D">
        <w:t xml:space="preserve"> </w:t>
      </w:r>
      <w:hyperlink r:id="rId11" w:history="1">
        <w:r w:rsidRPr="00472B68">
          <w:t>https://www.theglobeandmail.com/canada/article-provinces-plan-legal-push-against-</w:t>
        </w:r>
        <w:r w:rsidR="006239B5">
          <w:t>Oxy</w:t>
        </w:r>
        <w:r w:rsidRPr="00472B68">
          <w:t>-pharma-in-wake-of-us-</w:t>
        </w:r>
      </w:hyperlink>
      <w:r w:rsidRPr="00472B68">
        <w:t>opioid.</w:t>
      </w:r>
    </w:p>
  </w:footnote>
  <w:footnote w:id="13">
    <w:p w14:paraId="73C40E6B" w14:textId="4CE40768" w:rsidR="00A77BBD" w:rsidRPr="00472B68" w:rsidRDefault="00A77BBD" w:rsidP="00C7468B">
      <w:pPr>
        <w:pStyle w:val="FootnoteText"/>
      </w:pPr>
      <w:r w:rsidRPr="00472B68">
        <w:rPr>
          <w:rStyle w:val="FootnoteReference"/>
          <w:rFonts w:eastAsia="Times New Roman" w:cs="Times New Roman"/>
          <w:color w:val="000000"/>
          <w:szCs w:val="20"/>
          <w:vertAlign w:val="superscript"/>
        </w:rPr>
        <w:footnoteRef/>
      </w:r>
      <w:r w:rsidR="005B0788">
        <w:t xml:space="preserve"> </w:t>
      </w:r>
      <w:r w:rsidRPr="00472B68">
        <w:t>The absolute amount of these distributions dwarfed distributions for the 1995-2007 period because concerns about</w:t>
      </w:r>
      <w:r w:rsidR="00E4309D">
        <w:t xml:space="preserve"> </w:t>
      </w:r>
      <w:r w:rsidRPr="00472B68">
        <w:t xml:space="preserve">the validity of </w:t>
      </w:r>
      <w:r w:rsidR="006239B5">
        <w:t>Oxy</w:t>
      </w:r>
      <w:r w:rsidR="008B54D4" w:rsidRPr="00472B68">
        <w:t>’</w:t>
      </w:r>
      <w:r w:rsidRPr="00472B68">
        <w:t xml:space="preserve">s </w:t>
      </w:r>
      <w:r w:rsidR="00E82FD6">
        <w:t>Oxy</w:t>
      </w:r>
      <w:r w:rsidR="00B747C6">
        <w:t>con</w:t>
      </w:r>
      <w:r w:rsidRPr="00472B68">
        <w:t xml:space="preserve"> patent capped its earnings until 2008</w:t>
      </w:r>
      <w:r w:rsidR="008B54D4" w:rsidRPr="00472B68">
        <w:t>,</w:t>
      </w:r>
      <w:r w:rsidRPr="00472B68">
        <w:t xml:space="preserve"> when it was definitively held that the patent was </w:t>
      </w:r>
      <w:r w:rsidR="00E4309D" w:rsidRPr="00472B68">
        <w:t>valid</w:t>
      </w:r>
      <w:r w:rsidR="00FD7892" w:rsidRPr="00472B68">
        <w:t>.</w:t>
      </w:r>
      <w:r w:rsidR="005B0788">
        <w:t xml:space="preserve"> </w:t>
      </w:r>
      <w:r w:rsidR="00FD7892" w:rsidRPr="00472B68">
        <w:t xml:space="preserve"> </w:t>
      </w:r>
      <w:r w:rsidRPr="00472B68">
        <w:t>(</w:t>
      </w:r>
      <w:r w:rsidRPr="00472B68">
        <w:rPr>
          <w:i/>
          <w:iCs/>
        </w:rPr>
        <w:t>See</w:t>
      </w:r>
      <w:r w:rsidRPr="00472B68">
        <w:t xml:space="preserve"> </w:t>
      </w:r>
      <w:hyperlink r:id="rId12" w:history="1">
        <w:r w:rsidR="005327BB" w:rsidRPr="00472B68">
          <w:t xml:space="preserve">Dkt. </w:t>
        </w:r>
        <w:r w:rsidR="002E3DAF">
          <w:t xml:space="preserve">No. </w:t>
        </w:r>
        <w:r w:rsidRPr="00472B68">
          <w:t>241</w:t>
        </w:r>
        <w:r w:rsidR="008B54D4" w:rsidRPr="00472B68">
          <w:t>,</w:t>
        </w:r>
        <w:r w:rsidRPr="00472B68">
          <w:t xml:space="preserve"> at 6</w:t>
        </w:r>
      </w:hyperlink>
      <w:r w:rsidRPr="00472B68">
        <w:t>)</w:t>
      </w:r>
      <w:r w:rsidR="006A227C" w:rsidRPr="00472B68">
        <w:t xml:space="preserve">.  </w:t>
      </w:r>
      <w:r w:rsidRPr="00472B68">
        <w:t>After that</w:t>
      </w:r>
      <w:r w:rsidR="008B54D4" w:rsidRPr="00472B68">
        <w:t>,</w:t>
      </w:r>
      <w:r w:rsidRPr="00472B68">
        <w:t xml:space="preserve"> </w:t>
      </w:r>
      <w:r w:rsidR="006239B5">
        <w:t>Oxy</w:t>
      </w:r>
      <w:r w:rsidR="008B54D4" w:rsidRPr="00472B68">
        <w:t>’</w:t>
      </w:r>
      <w:r w:rsidRPr="00472B68">
        <w:t>s earnings soared - as did both the amount owed in taxes and</w:t>
      </w:r>
      <w:r w:rsidR="00E4309D">
        <w:t xml:space="preserve"> </w:t>
      </w:r>
      <w:r w:rsidRPr="00472B68">
        <w:t xml:space="preserve">the amount that ended up in the </w:t>
      </w:r>
      <w:r w:rsidR="00E82FD6">
        <w:t>Packler</w:t>
      </w:r>
      <w:r w:rsidRPr="00472B68">
        <w:t xml:space="preserve"> family trusts.</w:t>
      </w:r>
    </w:p>
  </w:footnote>
  <w:footnote w:id="14">
    <w:p w14:paraId="436A1149" w14:textId="2256E083" w:rsidR="00A77BBD" w:rsidRPr="00472B68" w:rsidRDefault="00A77BBD" w:rsidP="00C7468B">
      <w:pPr>
        <w:pStyle w:val="FootnoteText"/>
      </w:pPr>
      <w:r w:rsidRPr="00472B68">
        <w:rPr>
          <w:rStyle w:val="FootnoteReference"/>
          <w:rFonts w:eastAsia="Times New Roman" w:cs="Times New Roman"/>
          <w:color w:val="000000"/>
          <w:szCs w:val="20"/>
          <w:vertAlign w:val="superscript"/>
        </w:rPr>
        <w:footnoteRef/>
      </w:r>
      <w:r w:rsidR="005B0788">
        <w:t xml:space="preserve"> </w:t>
      </w:r>
      <w:r w:rsidRPr="00472B68">
        <w:t>Mr</w:t>
      </w:r>
      <w:r w:rsidR="006A227C" w:rsidRPr="00472B68">
        <w:t xml:space="preserve">. </w:t>
      </w:r>
      <w:r w:rsidR="00F9715F">
        <w:t>Double</w:t>
      </w:r>
      <w:r w:rsidRPr="00472B68">
        <w:t xml:space="preserve"> was appointed to the Board in July 2019 and chaired the Special Committee investigating the potential claims of </w:t>
      </w:r>
      <w:r w:rsidR="006239B5">
        <w:t>Oxy</w:t>
      </w:r>
      <w:r w:rsidRPr="00472B68">
        <w:t xml:space="preserve"> or its estates against the </w:t>
      </w:r>
      <w:r w:rsidR="00E82FD6">
        <w:t>Packler</w:t>
      </w:r>
      <w:r w:rsidRPr="00472B68">
        <w:t>s</w:t>
      </w:r>
      <w:r w:rsidR="006A227C" w:rsidRPr="00472B68">
        <w:t xml:space="preserve">.  </w:t>
      </w:r>
    </w:p>
  </w:footnote>
  <w:footnote w:id="15">
    <w:p w14:paraId="24776E2E" w14:textId="135A4040" w:rsidR="00A77BBD" w:rsidRPr="00472B68" w:rsidRDefault="00A77BBD" w:rsidP="00C7468B">
      <w:pPr>
        <w:pStyle w:val="FootnoteText"/>
      </w:pPr>
      <w:r w:rsidRPr="00472B68">
        <w:rPr>
          <w:rStyle w:val="FootnoteReference"/>
          <w:rFonts w:eastAsia="Times New Roman" w:cs="Times New Roman"/>
          <w:color w:val="000000"/>
          <w:szCs w:val="20"/>
          <w:vertAlign w:val="superscript"/>
        </w:rPr>
        <w:footnoteRef/>
      </w:r>
      <w:r w:rsidR="005B0788">
        <w:t xml:space="preserve"> </w:t>
      </w:r>
      <w:r w:rsidRPr="00472B68">
        <w:t xml:space="preserve">NAS monitoring claims are those of legal guardians of children born with neonatal abstinence syndrome due to exposure to opioids </w:t>
      </w:r>
      <w:r w:rsidRPr="00E83A0F">
        <w:rPr>
          <w:i/>
          <w:iCs/>
        </w:rPr>
        <w:t>in utero</w:t>
      </w:r>
      <w:r w:rsidR="006A227C" w:rsidRPr="00472B68">
        <w:t xml:space="preserve">.  </w:t>
      </w:r>
    </w:p>
  </w:footnote>
  <w:footnote w:id="16">
    <w:p w14:paraId="14CAA797" w14:textId="13A91D59" w:rsidR="00A77BBD" w:rsidRPr="00472B68" w:rsidRDefault="00A77BBD" w:rsidP="00C7468B">
      <w:pPr>
        <w:pStyle w:val="FootnoteText"/>
      </w:pPr>
      <w:r w:rsidRPr="00472B68">
        <w:rPr>
          <w:rStyle w:val="FootnoteReference"/>
          <w:rFonts w:eastAsia="Times New Roman" w:cs="Times New Roman"/>
          <w:color w:val="000000"/>
          <w:szCs w:val="20"/>
          <w:vertAlign w:val="superscript"/>
        </w:rPr>
        <w:footnoteRef/>
      </w:r>
      <w:r w:rsidR="00C7468B">
        <w:t xml:space="preserve"> </w:t>
      </w:r>
      <w:r w:rsidRPr="00472B68">
        <w:t>The Bankruptcy Court did not define what the “Consenting Ad Hoc Committee” was</w:t>
      </w:r>
      <w:r w:rsidR="008B54D4" w:rsidRPr="00472B68">
        <w:t>,</w:t>
      </w:r>
      <w:r w:rsidRPr="00472B68">
        <w:t xml:space="preserve"> but the mediators</w:t>
      </w:r>
      <w:r w:rsidR="008B54D4" w:rsidRPr="00472B68">
        <w:t>’</w:t>
      </w:r>
      <w:r w:rsidRPr="00472B68">
        <w:t xml:space="preserve"> March 23</w:t>
      </w:r>
      <w:r w:rsidR="008B54D4" w:rsidRPr="00472B68">
        <w:t>,</w:t>
      </w:r>
      <w:r w:rsidRPr="00472B68">
        <w:t xml:space="preserve"> 2021 report lists “the Consenting States and the Ad Hoc Committee” as consisting of the AHC plus the various consenting states listed there - notably Texas</w:t>
      </w:r>
      <w:r w:rsidR="008B54D4" w:rsidRPr="00472B68">
        <w:t>,</w:t>
      </w:r>
      <w:r w:rsidRPr="00472B68">
        <w:t xml:space="preserve"> Tennessee</w:t>
      </w:r>
      <w:r w:rsidR="008B54D4" w:rsidRPr="00472B68">
        <w:t>,</w:t>
      </w:r>
      <w:r w:rsidRPr="00472B68">
        <w:t xml:space="preserve"> and Florida</w:t>
      </w:r>
      <w:r w:rsidR="006A227C" w:rsidRPr="00472B68">
        <w:t xml:space="preserve">.  </w:t>
      </w:r>
      <w:r w:rsidRPr="00472B68">
        <w:t>Th</w:t>
      </w:r>
      <w:r w:rsidR="00F547D7">
        <w:t>is</w:t>
      </w:r>
      <w:r w:rsidRPr="00472B68">
        <w:t xml:space="preserve"> Court assumes this is what is meant by the “Consenting Ad Hoc Committee.”</w:t>
      </w:r>
    </w:p>
  </w:footnote>
  <w:footnote w:id="17">
    <w:p w14:paraId="3D8C0D45" w14:textId="034B0DBD" w:rsidR="00A77BBD" w:rsidRPr="00472B68" w:rsidRDefault="00A77BBD" w:rsidP="00C364FF">
      <w:pPr>
        <w:pStyle w:val="FootnoteText"/>
      </w:pPr>
      <w:r w:rsidRPr="00472B68">
        <w:rPr>
          <w:rStyle w:val="FootnoteReference"/>
          <w:rFonts w:eastAsia="Times New Roman" w:cs="Times New Roman"/>
          <w:color w:val="000000"/>
          <w:szCs w:val="20"/>
          <w:vertAlign w:val="superscript"/>
        </w:rPr>
        <w:footnoteRef/>
      </w:r>
      <w:r w:rsidR="00C364FF">
        <w:t xml:space="preserve"> </w:t>
      </w:r>
      <w:r w:rsidRPr="00472B68">
        <w:t>Occurring contemporaneously with the mediation was a Special Committee</w:t>
      </w:r>
      <w:r w:rsidR="008B54D4" w:rsidRPr="00472B68">
        <w:t>’</w:t>
      </w:r>
      <w:r w:rsidRPr="00472B68">
        <w:t xml:space="preserve">s “comprehensive investigation into potential claims that the Debtors may have against the </w:t>
      </w:r>
      <w:r w:rsidR="00E82FD6">
        <w:t>Packler</w:t>
      </w:r>
      <w:r w:rsidRPr="00472B68">
        <w:t xml:space="preserve"> Families and </w:t>
      </w:r>
      <w:r w:rsidR="00E82FD6">
        <w:t>Packler</w:t>
      </w:r>
      <w:r w:rsidRPr="00472B68">
        <w:t xml:space="preserve"> Entities</w:t>
      </w:r>
      <w:r w:rsidR="008B54D4" w:rsidRPr="00472B68">
        <w:t>,</w:t>
      </w:r>
      <w:r w:rsidRPr="00472B68">
        <w:t>” led by attorneys from Davis Polk</w:t>
      </w:r>
      <w:r w:rsidR="008B54D4" w:rsidRPr="00472B68">
        <w:t>,</w:t>
      </w:r>
      <w:r w:rsidRPr="00472B68">
        <w:t xml:space="preserve"> who represent the Debtors in the bankruptcy</w:t>
      </w:r>
      <w:r w:rsidR="006A227C" w:rsidRPr="00472B68">
        <w:t xml:space="preserve">.  </w:t>
      </w:r>
      <w:r w:rsidRPr="00472B68">
        <w:t>Throughout the mediation</w:t>
      </w:r>
      <w:r w:rsidR="008B54D4" w:rsidRPr="00472B68">
        <w:t>,</w:t>
      </w:r>
      <w:r w:rsidRPr="00472B68">
        <w:t xml:space="preserve"> the Special Committee was kept apprised of the “offers and counteroffers that had been communicated through the Mediators by the NCSG</w:t>
      </w:r>
      <w:r w:rsidR="008B54D4" w:rsidRPr="00472B68">
        <w:t>,</w:t>
      </w:r>
      <w:r w:rsidRPr="00472B68">
        <w:t xml:space="preserve"> on the one hand</w:t>
      </w:r>
      <w:r w:rsidR="008B54D4" w:rsidRPr="00472B68">
        <w:t>,</w:t>
      </w:r>
      <w:r w:rsidRPr="00472B68">
        <w:t xml:space="preserve"> and the </w:t>
      </w:r>
      <w:r w:rsidR="00E82FD6">
        <w:t>Packler</w:t>
      </w:r>
      <w:r w:rsidRPr="00472B68">
        <w:t xml:space="preserve"> Families</w:t>
      </w:r>
      <w:r w:rsidR="008B54D4" w:rsidRPr="00472B68">
        <w:t>,</w:t>
      </w:r>
      <w:r w:rsidRPr="00472B68">
        <w:t xml:space="preserve"> on the other hand.” </w:t>
      </w:r>
      <w:r w:rsidR="00C364FF">
        <w:t xml:space="preserve"> </w:t>
      </w:r>
    </w:p>
  </w:footnote>
  <w:footnote w:id="18">
    <w:p w14:paraId="488E5D8F" w14:textId="7F6B946F" w:rsidR="00F547D7" w:rsidRDefault="00F547D7">
      <w:pPr>
        <w:pStyle w:val="FootnoteText"/>
      </w:pPr>
      <w:r>
        <w:rPr>
          <w:rStyle w:val="FootnoteReference"/>
        </w:rPr>
        <w:footnoteRef/>
      </w:r>
      <w:r>
        <w:t xml:space="preserve"> Since the District Court render</w:t>
      </w:r>
      <w:r w:rsidR="00665A76">
        <w:t>e</w:t>
      </w:r>
      <w:r>
        <w:t xml:space="preserve">d its decision, subsequent </w:t>
      </w:r>
      <w:r w:rsidR="00665A76">
        <w:t>negotiations</w:t>
      </w:r>
      <w:r>
        <w:t xml:space="preserve"> by and among Packler entities and stockholders </w:t>
      </w:r>
      <w:r w:rsidR="00665A76">
        <w:t>has increased the settlement amount or offer to approximately $</w:t>
      </w:r>
      <w:r w:rsidR="00E83A0F">
        <w:t>7</w:t>
      </w:r>
      <w:r w:rsidR="00665A76">
        <w:t xml:space="preserve"> billion.</w:t>
      </w:r>
    </w:p>
  </w:footnote>
  <w:footnote w:id="19">
    <w:p w14:paraId="40E5D97F" w14:textId="052729F9" w:rsidR="00A77BBD" w:rsidRPr="00472B68" w:rsidRDefault="00A77BBD" w:rsidP="00C364FF">
      <w:pPr>
        <w:pStyle w:val="FootnoteText"/>
      </w:pPr>
      <w:r w:rsidRPr="00472B68">
        <w:rPr>
          <w:rStyle w:val="FootnoteReference"/>
          <w:rFonts w:eastAsia="Times New Roman" w:cs="Times New Roman"/>
          <w:color w:val="000000"/>
          <w:szCs w:val="20"/>
          <w:vertAlign w:val="superscript"/>
        </w:rPr>
        <w:footnoteRef/>
      </w:r>
      <w:r w:rsidR="00C364FF">
        <w:t xml:space="preserve"> </w:t>
      </w:r>
      <w:r w:rsidRPr="00472B68">
        <w:t>At that time</w:t>
      </w:r>
      <w:r w:rsidR="008B54D4" w:rsidRPr="00472B68">
        <w:t>,</w:t>
      </w:r>
      <w:r w:rsidRPr="00472B68">
        <w:t xml:space="preserve"> the non-consenting states included Colorado</w:t>
      </w:r>
      <w:r w:rsidR="008B54D4" w:rsidRPr="00472B68">
        <w:t>,</w:t>
      </w:r>
      <w:r w:rsidRPr="00472B68">
        <w:t xml:space="preserve"> Connecticut</w:t>
      </w:r>
      <w:r w:rsidR="008B54D4" w:rsidRPr="00472B68">
        <w:t>,</w:t>
      </w:r>
      <w:r w:rsidRPr="00472B68">
        <w:t xml:space="preserve"> Delaware</w:t>
      </w:r>
      <w:r w:rsidR="008B54D4" w:rsidRPr="00472B68">
        <w:t>,</w:t>
      </w:r>
      <w:r w:rsidRPr="00472B68">
        <w:t xml:space="preserve"> the District of Columbia</w:t>
      </w:r>
      <w:r w:rsidR="008B54D4" w:rsidRPr="00472B68">
        <w:t>,</w:t>
      </w:r>
      <w:r w:rsidRPr="00472B68">
        <w:t xml:space="preserve"> Hawaii</w:t>
      </w:r>
      <w:r w:rsidR="008B54D4" w:rsidRPr="00472B68">
        <w:t>,</w:t>
      </w:r>
      <w:r w:rsidRPr="00472B68">
        <w:t xml:space="preserve"> Idaho</w:t>
      </w:r>
      <w:r w:rsidR="008B54D4" w:rsidRPr="00472B68">
        <w:t>,</w:t>
      </w:r>
      <w:r w:rsidRPr="00472B68">
        <w:t xml:space="preserve"> Illinois</w:t>
      </w:r>
      <w:r w:rsidR="008B54D4" w:rsidRPr="00472B68">
        <w:t>,</w:t>
      </w:r>
      <w:r w:rsidRPr="00472B68">
        <w:t xml:space="preserve"> Iowa</w:t>
      </w:r>
      <w:r w:rsidR="008B54D4" w:rsidRPr="00472B68">
        <w:t>,</w:t>
      </w:r>
      <w:r w:rsidRPr="00472B68">
        <w:t xml:space="preserve"> Maine</w:t>
      </w:r>
      <w:r w:rsidR="008B54D4" w:rsidRPr="00472B68">
        <w:t>,</w:t>
      </w:r>
      <w:r w:rsidRPr="00472B68">
        <w:t xml:space="preserve"> Maryland</w:t>
      </w:r>
      <w:r w:rsidR="008B54D4" w:rsidRPr="00472B68">
        <w:t>,</w:t>
      </w:r>
      <w:r w:rsidRPr="00472B68">
        <w:t xml:space="preserve"> Massachusetts</w:t>
      </w:r>
      <w:r w:rsidR="008B54D4" w:rsidRPr="00472B68">
        <w:t>,</w:t>
      </w:r>
      <w:r w:rsidRPr="00472B68">
        <w:t xml:space="preserve"> Minnesota</w:t>
      </w:r>
      <w:r w:rsidR="008B54D4" w:rsidRPr="00472B68">
        <w:t>,</w:t>
      </w:r>
      <w:r w:rsidRPr="00472B68">
        <w:t xml:space="preserve"> Nevada</w:t>
      </w:r>
      <w:r w:rsidR="008B54D4" w:rsidRPr="00472B68">
        <w:t>,</w:t>
      </w:r>
      <w:r w:rsidRPr="00472B68">
        <w:t xml:space="preserve"> New Hampshire</w:t>
      </w:r>
      <w:r w:rsidR="008B54D4" w:rsidRPr="00472B68">
        <w:t>,</w:t>
      </w:r>
      <w:r w:rsidRPr="00472B68">
        <w:t xml:space="preserve"> New Jersey</w:t>
      </w:r>
      <w:r w:rsidR="008B54D4" w:rsidRPr="00472B68">
        <w:t>,</w:t>
      </w:r>
      <w:r w:rsidRPr="00472B68">
        <w:t xml:space="preserve"> New York</w:t>
      </w:r>
      <w:r w:rsidR="008B54D4" w:rsidRPr="00472B68">
        <w:t>,</w:t>
      </w:r>
      <w:r w:rsidRPr="00472B68">
        <w:t xml:space="preserve"> North Carolina</w:t>
      </w:r>
      <w:r w:rsidR="008B54D4" w:rsidRPr="00472B68">
        <w:t>,</w:t>
      </w:r>
      <w:r w:rsidRPr="00472B68">
        <w:t xml:space="preserve"> Oregon</w:t>
      </w:r>
      <w:r w:rsidR="008B54D4" w:rsidRPr="00472B68">
        <w:t>,</w:t>
      </w:r>
      <w:r w:rsidRPr="00472B68">
        <w:t xml:space="preserve"> Pennsylvania</w:t>
      </w:r>
      <w:r w:rsidR="008B54D4" w:rsidRPr="00472B68">
        <w:t>,</w:t>
      </w:r>
      <w:r w:rsidRPr="00472B68">
        <w:t xml:space="preserve"> Rhode Island</w:t>
      </w:r>
      <w:r w:rsidR="008B54D4" w:rsidRPr="00472B68">
        <w:t>,</w:t>
      </w:r>
      <w:r w:rsidRPr="00472B68">
        <w:t xml:space="preserve"> Vermont</w:t>
      </w:r>
      <w:r w:rsidR="008B54D4" w:rsidRPr="00472B68">
        <w:t>,</w:t>
      </w:r>
      <w:r w:rsidRPr="00472B68">
        <w:t xml:space="preserve"> Virginia</w:t>
      </w:r>
      <w:r w:rsidR="008B54D4" w:rsidRPr="00472B68">
        <w:t>,</w:t>
      </w:r>
      <w:r w:rsidRPr="00472B68">
        <w:t xml:space="preserve"> Washington</w:t>
      </w:r>
      <w:r w:rsidR="008B54D4" w:rsidRPr="00472B68">
        <w:t>,</w:t>
      </w:r>
      <w:r w:rsidRPr="00472B68">
        <w:t xml:space="preserve"> and Wisconsin.</w:t>
      </w:r>
    </w:p>
  </w:footnote>
  <w:footnote w:id="20">
    <w:p w14:paraId="4CD5B746" w14:textId="3F264A97" w:rsidR="00A77BBD" w:rsidRPr="00472B68" w:rsidRDefault="00A77BBD" w:rsidP="00C364FF">
      <w:pPr>
        <w:pStyle w:val="FootnoteText"/>
      </w:pPr>
      <w:r w:rsidRPr="00472B68">
        <w:rPr>
          <w:rStyle w:val="FootnoteReference"/>
          <w:rFonts w:eastAsia="Times New Roman" w:cs="Times New Roman"/>
          <w:color w:val="000000"/>
          <w:szCs w:val="20"/>
          <w:vertAlign w:val="superscript"/>
        </w:rPr>
        <w:footnoteRef/>
      </w:r>
      <w:r w:rsidR="00C364FF">
        <w:t xml:space="preserve"> </w:t>
      </w:r>
      <w:r w:rsidRPr="00472B68">
        <w:t>The value of the “naming rights” concession is dubious</w:t>
      </w:r>
      <w:r w:rsidR="008B54D4" w:rsidRPr="00472B68">
        <w:t>,</w:t>
      </w:r>
      <w:r w:rsidRPr="00472B68">
        <w:t xml:space="preserve"> since institution after institution</w:t>
      </w:r>
      <w:r w:rsidR="008B54D4" w:rsidRPr="00472B68">
        <w:t>,</w:t>
      </w:r>
      <w:r w:rsidRPr="00472B68">
        <w:t xml:space="preserve"> both here and abroad</w:t>
      </w:r>
      <w:r w:rsidR="008B54D4" w:rsidRPr="00472B68">
        <w:t>,</w:t>
      </w:r>
      <w:r w:rsidRPr="00472B68">
        <w:t xml:space="preserve"> is taking the </w:t>
      </w:r>
      <w:r w:rsidR="00E82FD6">
        <w:t>Packler</w:t>
      </w:r>
      <w:r w:rsidRPr="00472B68">
        <w:t>s</w:t>
      </w:r>
      <w:r w:rsidR="008B54D4" w:rsidRPr="00472B68">
        <w:t>’</w:t>
      </w:r>
      <w:r w:rsidRPr="00472B68">
        <w:t xml:space="preserve"> name off various endowed facilities</w:t>
      </w:r>
      <w:r w:rsidR="008B54D4" w:rsidRPr="00472B68">
        <w:t>,</w:t>
      </w:r>
      <w:r w:rsidRPr="00472B68">
        <w:t xml:space="preserve"> including the Louvre and the Metropolitan Museum of Art</w:t>
      </w:r>
      <w:r w:rsidR="006A227C" w:rsidRPr="00472B68">
        <w:t xml:space="preserve">.  </w:t>
      </w:r>
      <w:r w:rsidRPr="00472B68">
        <w:rPr>
          <w:i/>
          <w:iCs/>
        </w:rPr>
        <w:t xml:space="preserve">See Louvre Removes </w:t>
      </w:r>
      <w:r w:rsidR="00E82FD6">
        <w:rPr>
          <w:i/>
          <w:iCs/>
        </w:rPr>
        <w:t>Packler</w:t>
      </w:r>
      <w:r w:rsidRPr="00472B68">
        <w:rPr>
          <w:i/>
          <w:iCs/>
        </w:rPr>
        <w:t xml:space="preserve"> Family Name From Its Walls</w:t>
      </w:r>
      <w:r w:rsidR="008B54D4" w:rsidRPr="00472B68">
        <w:t>,</w:t>
      </w:r>
      <w:r w:rsidRPr="00472B68">
        <w:t xml:space="preserve"> The N.Y</w:t>
      </w:r>
      <w:r w:rsidR="006A227C" w:rsidRPr="00472B68">
        <w:t xml:space="preserve">. </w:t>
      </w:r>
      <w:r w:rsidRPr="00472B68">
        <w:t>Times (Jul</w:t>
      </w:r>
      <w:r w:rsidR="006A227C" w:rsidRPr="00472B68">
        <w:t xml:space="preserve">. </w:t>
      </w:r>
      <w:r w:rsidRPr="00472B68">
        <w:t>17</w:t>
      </w:r>
      <w:r w:rsidR="008B54D4" w:rsidRPr="00472B68">
        <w:t>,</w:t>
      </w:r>
      <w:r w:rsidRPr="00472B68">
        <w:t xml:space="preserve"> 2019)</w:t>
      </w:r>
      <w:r w:rsidR="008B54D4" w:rsidRPr="00472B68">
        <w:t>,</w:t>
      </w:r>
      <w:r w:rsidRPr="00472B68">
        <w:t xml:space="preserve"> </w:t>
      </w:r>
      <w:hyperlink r:id="rId13" w:history="1">
        <w:r w:rsidRPr="00472B68">
          <w:t>https://www.nytimes.com/2019/07/17/arts/design/</w:t>
        </w:r>
        <w:r w:rsidR="00E82FD6">
          <w:t>Packler</w:t>
        </w:r>
        <w:r w:rsidRPr="00472B68">
          <w:t>-family-louvre.html</w:t>
        </w:r>
      </w:hyperlink>
      <w:r w:rsidRPr="00472B68">
        <w:t xml:space="preserve">; </w:t>
      </w:r>
      <w:r w:rsidRPr="00472B68">
        <w:rPr>
          <w:i/>
          <w:iCs/>
        </w:rPr>
        <w:t xml:space="preserve">Met Museum Removes </w:t>
      </w:r>
      <w:r w:rsidR="00E82FD6">
        <w:rPr>
          <w:i/>
          <w:iCs/>
        </w:rPr>
        <w:t>Packler</w:t>
      </w:r>
      <w:r w:rsidRPr="00472B68">
        <w:rPr>
          <w:i/>
          <w:iCs/>
        </w:rPr>
        <w:t xml:space="preserve"> Name From Wing Over Opioid Ties</w:t>
      </w:r>
      <w:r w:rsidR="008B54D4" w:rsidRPr="00472B68">
        <w:t>,</w:t>
      </w:r>
      <w:r w:rsidRPr="00472B68">
        <w:t xml:space="preserve"> The N.Y</w:t>
      </w:r>
      <w:r w:rsidR="006A227C" w:rsidRPr="00472B68">
        <w:t xml:space="preserve">.  </w:t>
      </w:r>
      <w:r w:rsidRPr="00472B68">
        <w:t>Times (</w:t>
      </w:r>
      <w:r w:rsidR="002A2716" w:rsidRPr="00472B68">
        <w:t xml:space="preserve">Dec. </w:t>
      </w:r>
      <w:r w:rsidRPr="00472B68">
        <w:t>9</w:t>
      </w:r>
      <w:r w:rsidR="008B54D4" w:rsidRPr="00472B68">
        <w:t>,</w:t>
      </w:r>
      <w:r w:rsidRPr="00472B68">
        <w:t xml:space="preserve"> 2021)</w:t>
      </w:r>
      <w:r w:rsidR="008B54D4" w:rsidRPr="00472B68">
        <w:t>,</w:t>
      </w:r>
      <w:r w:rsidRPr="00472B68">
        <w:t xml:space="preserve"> </w:t>
      </w:r>
      <w:hyperlink r:id="rId14" w:history="1">
        <w:r w:rsidRPr="00472B68">
          <w:t>https://www.nytimes.com/2021/12/09/arts/design/met- museum-</w:t>
        </w:r>
        <w:r w:rsidR="00E82FD6">
          <w:t>Packler</w:t>
        </w:r>
        <w:r w:rsidRPr="00472B68">
          <w:t>-wing.html</w:t>
        </w:r>
      </w:hyperlink>
    </w:p>
  </w:footnote>
  <w:footnote w:id="21">
    <w:p w14:paraId="1C41E93F" w14:textId="7BAA231B" w:rsidR="00E21AF3" w:rsidRDefault="00E21AF3">
      <w:pPr>
        <w:pStyle w:val="FootnoteText"/>
      </w:pPr>
      <w:r>
        <w:rPr>
          <w:rStyle w:val="FootnoteReference"/>
        </w:rPr>
        <w:footnoteRef/>
      </w:r>
      <w:r>
        <w:t xml:space="preserve"> As noted, the proposed settlement amount has increased to $7 billion in the wake of the District Court’s reversal of the Bankruptcy Court.</w:t>
      </w:r>
    </w:p>
  </w:footnote>
  <w:footnote w:id="22">
    <w:p w14:paraId="115770BB" w14:textId="364B8D75" w:rsidR="00A77BBD" w:rsidRPr="00472B68" w:rsidRDefault="00A77BBD" w:rsidP="00E97455">
      <w:pPr>
        <w:pStyle w:val="FootnoteText"/>
      </w:pPr>
      <w:r w:rsidRPr="00472B68">
        <w:rPr>
          <w:rStyle w:val="FootnoteReference"/>
          <w:rFonts w:eastAsia="Times New Roman" w:cs="Times New Roman"/>
          <w:color w:val="000000"/>
          <w:szCs w:val="20"/>
          <w:vertAlign w:val="superscript"/>
        </w:rPr>
        <w:footnoteRef/>
      </w:r>
      <w:r w:rsidR="00E97455">
        <w:t xml:space="preserve"> </w:t>
      </w:r>
      <w:r w:rsidRPr="00472B68">
        <w:t xml:space="preserve">Judge </w:t>
      </w:r>
      <w:r w:rsidR="00E82FD6">
        <w:t>Wains</w:t>
      </w:r>
      <w:r w:rsidRPr="00472B68">
        <w:t xml:space="preserve"> considered all of the </w:t>
      </w:r>
      <w:r w:rsidRPr="00472B68">
        <w:rPr>
          <w:i/>
          <w:iCs/>
        </w:rPr>
        <w:t>Iridium</w:t>
      </w:r>
      <w:r w:rsidRPr="00472B68">
        <w:t xml:space="preserve"> factors</w:t>
      </w:r>
      <w:r w:rsidR="008B54D4" w:rsidRPr="00472B68">
        <w:t>,</w:t>
      </w:r>
      <w:r w:rsidRPr="00472B68">
        <w:t xml:space="preserve"> but not in the order in which they are discussed in </w:t>
      </w:r>
      <w:r w:rsidRPr="00472B68">
        <w:rPr>
          <w:i/>
          <w:iCs/>
        </w:rPr>
        <w:t>Iridium</w:t>
      </w:r>
      <w:r w:rsidR="006A227C" w:rsidRPr="00472B68">
        <w:t xml:space="preserve">.  </w:t>
      </w:r>
      <w:r w:rsidRPr="00472B68">
        <w:t xml:space="preserve">I employ Judge </w:t>
      </w:r>
      <w:r w:rsidR="00E82FD6">
        <w:t>Wains</w:t>
      </w:r>
      <w:r w:rsidR="008B54D4" w:rsidRPr="00472B68">
        <w:t>’</w:t>
      </w:r>
      <w:r w:rsidRPr="00472B68">
        <w:t>s framework in this decision.</w:t>
      </w:r>
    </w:p>
  </w:footnote>
  <w:footnote w:id="23">
    <w:p w14:paraId="628C5F4B" w14:textId="2CBB261A" w:rsidR="00A77BBD" w:rsidRPr="00472B68" w:rsidRDefault="00A77BBD" w:rsidP="00E97455">
      <w:pPr>
        <w:pStyle w:val="FootnoteText"/>
      </w:pPr>
      <w:r w:rsidRPr="00472B68">
        <w:rPr>
          <w:rStyle w:val="FootnoteReference"/>
          <w:rFonts w:eastAsia="Times New Roman" w:cs="Times New Roman"/>
          <w:color w:val="000000"/>
          <w:szCs w:val="20"/>
          <w:vertAlign w:val="superscript"/>
        </w:rPr>
        <w:footnoteRef/>
      </w:r>
      <w:r w:rsidR="00E97455">
        <w:t xml:space="preserve"> </w:t>
      </w:r>
      <w:r w:rsidRPr="00472B68">
        <w:t xml:space="preserve">Given </w:t>
      </w:r>
      <w:r w:rsidR="006239B5">
        <w:t>Oxy</w:t>
      </w:r>
      <w:r w:rsidR="008B54D4" w:rsidRPr="00472B68">
        <w:t>’</w:t>
      </w:r>
      <w:r w:rsidRPr="00472B68">
        <w:t>s admissions in connection with its 2020 Plea Agreement</w:t>
      </w:r>
      <w:r w:rsidR="008B54D4" w:rsidRPr="00472B68">
        <w:t>,</w:t>
      </w:r>
      <w:r w:rsidRPr="00472B68">
        <w:t xml:space="preserve"> this Court cannot assign much weight to the “oversight” factor.</w:t>
      </w:r>
    </w:p>
  </w:footnote>
  <w:footnote w:id="24">
    <w:p w14:paraId="6B1AFE13" w14:textId="7A7D8E22" w:rsidR="00A77BBD" w:rsidRPr="00472B68" w:rsidRDefault="00A77BBD" w:rsidP="009A6D82">
      <w:pPr>
        <w:pStyle w:val="FootnoteText"/>
      </w:pPr>
      <w:r w:rsidRPr="00472B68">
        <w:rPr>
          <w:rStyle w:val="FootnoteReference"/>
          <w:rFonts w:eastAsia="Times New Roman" w:cs="Times New Roman"/>
          <w:color w:val="000000"/>
          <w:szCs w:val="20"/>
          <w:vertAlign w:val="superscript"/>
        </w:rPr>
        <w:footnoteRef/>
      </w:r>
      <w:r w:rsidR="009A6D82">
        <w:t xml:space="preserve"> </w:t>
      </w:r>
      <w:r w:rsidRPr="00472B68">
        <w:t xml:space="preserve">It is actually not clear what members of the </w:t>
      </w:r>
      <w:r w:rsidR="00E82FD6">
        <w:t>Packler</w:t>
      </w:r>
      <w:r w:rsidRPr="00472B68">
        <w:t xml:space="preserve"> family are contributing to the settlement and in what amounts</w:t>
      </w:r>
      <w:r w:rsidR="006A227C" w:rsidRPr="00472B68">
        <w:t xml:space="preserve">.  </w:t>
      </w:r>
      <w:r w:rsidRPr="00472B68">
        <w:t>The record contains some suggestion that the various trusts that are contributing are for the benefit of all members of</w:t>
      </w:r>
      <w:r w:rsidR="009B6652">
        <w:t xml:space="preserve"> </w:t>
      </w:r>
      <w:r w:rsidRPr="00472B68">
        <w:t>the family.</w:t>
      </w:r>
    </w:p>
  </w:footnote>
  <w:footnote w:id="25">
    <w:p w14:paraId="4E2E09AE" w14:textId="1464E1C5" w:rsidR="00A77BBD" w:rsidRPr="00472B68" w:rsidRDefault="00A77BBD" w:rsidP="009A6D82">
      <w:pPr>
        <w:pStyle w:val="FootnoteText"/>
      </w:pPr>
      <w:r w:rsidRPr="00472B68">
        <w:rPr>
          <w:rStyle w:val="FootnoteReference"/>
          <w:rFonts w:eastAsia="Times New Roman" w:cs="Times New Roman"/>
          <w:color w:val="000000"/>
          <w:szCs w:val="20"/>
          <w:vertAlign w:val="superscript"/>
        </w:rPr>
        <w:footnoteRef/>
      </w:r>
      <w:r w:rsidR="009A6D82">
        <w:t xml:space="preserve"> </w:t>
      </w:r>
      <w:r w:rsidRPr="00472B68">
        <w:t xml:space="preserve">Judge </w:t>
      </w:r>
      <w:r w:rsidR="00E82FD6">
        <w:t>Wains</w:t>
      </w:r>
      <w:r w:rsidRPr="00472B68">
        <w:t xml:space="preserve"> did not explain what he meant by that</w:t>
      </w:r>
      <w:r w:rsidR="008B54D4" w:rsidRPr="00472B68">
        <w:t>,</w:t>
      </w:r>
      <w:r w:rsidRPr="00472B68">
        <w:t xml:space="preserve"> except to say that the release would be further narrowed so that it was limited in the manner discussed above</w:t>
      </w:r>
      <w:r w:rsidR="006A227C" w:rsidRPr="00472B68">
        <w:t xml:space="preserve">.  </w:t>
      </w:r>
      <w:r w:rsidRPr="00472B68">
        <w:t>I assume that he meant that the release was limited to claims involving</w:t>
      </w:r>
      <w:r w:rsidR="009B6652">
        <w:t xml:space="preserve"> </w:t>
      </w:r>
      <w:r w:rsidRPr="00472B68">
        <w:t>the Debtor</w:t>
      </w:r>
      <w:r w:rsidR="008B54D4" w:rsidRPr="00472B68">
        <w:t>’</w:t>
      </w:r>
      <w:r w:rsidRPr="00472B68">
        <w:t>s conduct</w:t>
      </w:r>
      <w:r w:rsidR="008B54D4" w:rsidRPr="00472B68">
        <w:t>,</w:t>
      </w:r>
      <w:r w:rsidRPr="00472B68">
        <w:t xml:space="preserve"> and claims in which the Debtor</w:t>
      </w:r>
      <w:r w:rsidR="008B54D4" w:rsidRPr="00472B68">
        <w:t>’</w:t>
      </w:r>
      <w:r w:rsidRPr="00472B68">
        <w:t>s conduct is “a legal cause of the released claim</w:t>
      </w:r>
      <w:r w:rsidR="008B54D4" w:rsidRPr="00472B68">
        <w:t>,</w:t>
      </w:r>
      <w:r w:rsidRPr="00472B68">
        <w:t xml:space="preserve"> or a legally relevant factor to the third-party cause of action.”</w:t>
      </w:r>
      <w:r w:rsidR="00EA0FCC">
        <w:t xml:space="preserve"> </w:t>
      </w:r>
      <w:r w:rsidRPr="00472B68">
        <w:t xml:space="preserve"> </w:t>
      </w:r>
      <w:r w:rsidRPr="00472B68">
        <w:rPr>
          <w:i/>
          <w:iCs/>
        </w:rPr>
        <w:t xml:space="preserve">In re </w:t>
      </w:r>
      <w:r w:rsidR="006239B5">
        <w:rPr>
          <w:i/>
          <w:iCs/>
        </w:rPr>
        <w:t>Oxy</w:t>
      </w:r>
      <w:r w:rsidRPr="00472B68">
        <w:rPr>
          <w:i/>
          <w:iCs/>
        </w:rPr>
        <w:t xml:space="preserve"> Pharma L.P.</w:t>
      </w:r>
      <w:r w:rsidR="008B54D4" w:rsidRPr="00472B68">
        <w:t>,</w:t>
      </w:r>
      <w:r w:rsidRPr="00472B68">
        <w:t xml:space="preserve"> </w:t>
      </w:r>
      <w:hyperlink r:id="rId15" w:history="1">
        <w:r w:rsidRPr="00472B68">
          <w:t>2021 WL 4240974</w:t>
        </w:r>
      </w:hyperlink>
      <w:r w:rsidR="008B54D4" w:rsidRPr="00472B68">
        <w:t>,</w:t>
      </w:r>
      <w:r w:rsidRPr="00472B68">
        <w:t xml:space="preserve"> at *45.</w:t>
      </w:r>
    </w:p>
  </w:footnote>
  <w:footnote w:id="26">
    <w:p w14:paraId="57363EB6" w14:textId="1DD30BA4" w:rsidR="00A77BBD" w:rsidRPr="00472B68" w:rsidRDefault="00A77BBD" w:rsidP="00A77BBD">
      <w:pPr>
        <w:rPr>
          <w:sz w:val="20"/>
          <w:szCs w:val="20"/>
        </w:rPr>
      </w:pPr>
      <w:r w:rsidRPr="00472B68">
        <w:rPr>
          <w:rStyle w:val="FootnoteReference"/>
          <w:rFonts w:eastAsia="Times New Roman" w:cs="Times New Roman"/>
          <w:color w:val="000000"/>
          <w:sz w:val="20"/>
          <w:szCs w:val="20"/>
          <w:vertAlign w:val="superscript"/>
        </w:rPr>
        <w:footnoteRef/>
      </w:r>
      <w:r w:rsidR="009A6D82">
        <w:rPr>
          <w:rFonts w:eastAsia="Times New Roman" w:cs="Times New Roman"/>
          <w:color w:val="000000"/>
          <w:sz w:val="20"/>
          <w:szCs w:val="20"/>
        </w:rPr>
        <w:t xml:space="preserve"> </w:t>
      </w:r>
      <w:r w:rsidRPr="00472B68">
        <w:rPr>
          <w:rFonts w:eastAsia="Times New Roman" w:cs="Times New Roman"/>
          <w:color w:val="000000"/>
          <w:sz w:val="20"/>
          <w:szCs w:val="20"/>
        </w:rPr>
        <w:t xml:space="preserve">Judge </w:t>
      </w:r>
      <w:r w:rsidR="00E82FD6">
        <w:rPr>
          <w:rFonts w:eastAsia="Times New Roman" w:cs="Times New Roman"/>
          <w:color w:val="000000"/>
          <w:sz w:val="20"/>
          <w:szCs w:val="20"/>
        </w:rPr>
        <w:t>Wains</w:t>
      </w:r>
      <w:r w:rsidRPr="00472B68">
        <w:rPr>
          <w:rFonts w:eastAsia="Times New Roman" w:cs="Times New Roman"/>
          <w:color w:val="000000"/>
          <w:sz w:val="20"/>
          <w:szCs w:val="20"/>
        </w:rPr>
        <w:t xml:space="preserve"> also argued that the best interest test under section 1129(a)(7) requires that the amount that an objecting creditor stands to receive under the plan on account of its claim be at least as much it would receive if the debtor were liquidated under chapter 7</w:t>
      </w:r>
      <w:r w:rsidR="006A227C" w:rsidRPr="00472B68">
        <w:rPr>
          <w:rFonts w:eastAsia="Times New Roman" w:cs="Times New Roman"/>
          <w:color w:val="000000"/>
          <w:sz w:val="20"/>
          <w:szCs w:val="20"/>
        </w:rPr>
        <w:t xml:space="preserve">.  </w:t>
      </w:r>
      <w:r w:rsidRPr="00472B68">
        <w:rPr>
          <w:rFonts w:eastAsia="Times New Roman" w:cs="Times New Roman"/>
          <w:i/>
          <w:iCs/>
          <w:color w:val="000000"/>
          <w:sz w:val="20"/>
          <w:szCs w:val="20"/>
        </w:rPr>
        <w:t xml:space="preserve">In re </w:t>
      </w:r>
      <w:r w:rsidR="006239B5">
        <w:rPr>
          <w:rFonts w:eastAsia="Times New Roman" w:cs="Times New Roman"/>
          <w:i/>
          <w:iCs/>
          <w:color w:val="000000"/>
          <w:sz w:val="20"/>
          <w:szCs w:val="20"/>
        </w:rPr>
        <w:t>Oxy</w:t>
      </w:r>
      <w:r w:rsidRPr="00472B68">
        <w:rPr>
          <w:rFonts w:eastAsia="Times New Roman" w:cs="Times New Roman"/>
          <w:i/>
          <w:iCs/>
          <w:color w:val="000000"/>
          <w:sz w:val="20"/>
          <w:szCs w:val="20"/>
        </w:rPr>
        <w:t xml:space="preserve"> Pharma L.P.</w:t>
      </w:r>
      <w:r w:rsidR="008B54D4" w:rsidRPr="00472B68">
        <w:rPr>
          <w:rFonts w:eastAsia="Times New Roman" w:cs="Times New Roman"/>
          <w:color w:val="000000"/>
          <w:sz w:val="20"/>
          <w:szCs w:val="20"/>
        </w:rPr>
        <w:t>,</w:t>
      </w:r>
      <w:r w:rsidRPr="00472B68">
        <w:rPr>
          <w:rFonts w:eastAsia="Times New Roman" w:cs="Times New Roman"/>
          <w:color w:val="000000"/>
          <w:sz w:val="20"/>
          <w:szCs w:val="20"/>
        </w:rPr>
        <w:t xml:space="preserve"> </w:t>
      </w:r>
      <w:hyperlink r:id="rId16" w:history="1">
        <w:r w:rsidRPr="00472B68">
          <w:rPr>
            <w:rFonts w:eastAsia="Times New Roman" w:cs="Times New Roman"/>
            <w:color w:val="000000"/>
            <w:sz w:val="20"/>
            <w:szCs w:val="20"/>
          </w:rPr>
          <w:t>2021 WL 4240974</w:t>
        </w:r>
      </w:hyperlink>
      <w:r w:rsidR="008B54D4" w:rsidRPr="00472B68">
        <w:rPr>
          <w:rFonts w:eastAsia="Times New Roman" w:cs="Times New Roman"/>
          <w:color w:val="000000"/>
          <w:sz w:val="20"/>
          <w:szCs w:val="20"/>
        </w:rPr>
        <w:t>,</w:t>
      </w:r>
      <w:r w:rsidRPr="00472B68">
        <w:rPr>
          <w:rFonts w:eastAsia="Times New Roman" w:cs="Times New Roman"/>
          <w:color w:val="000000"/>
          <w:sz w:val="20"/>
          <w:szCs w:val="20"/>
        </w:rPr>
        <w:t xml:space="preserve"> at *50</w:t>
      </w:r>
      <w:r w:rsidR="006A227C" w:rsidRPr="00472B68">
        <w:rPr>
          <w:rFonts w:eastAsia="Times New Roman" w:cs="Times New Roman"/>
          <w:color w:val="000000"/>
          <w:sz w:val="20"/>
          <w:szCs w:val="20"/>
        </w:rPr>
        <w:t xml:space="preserve">.  </w:t>
      </w:r>
      <w:r w:rsidRPr="00472B68">
        <w:rPr>
          <w:rFonts w:eastAsia="Times New Roman" w:cs="Times New Roman"/>
          <w:color w:val="000000"/>
          <w:sz w:val="20"/>
          <w:szCs w:val="20"/>
        </w:rPr>
        <w:t>Thus</w:t>
      </w:r>
      <w:r w:rsidR="008B54D4" w:rsidRPr="00472B68">
        <w:rPr>
          <w:rFonts w:eastAsia="Times New Roman" w:cs="Times New Roman"/>
          <w:color w:val="000000"/>
          <w:sz w:val="20"/>
          <w:szCs w:val="20"/>
        </w:rPr>
        <w:t>,</w:t>
      </w:r>
      <w:r w:rsidRPr="00472B68">
        <w:rPr>
          <w:rFonts w:eastAsia="Times New Roman" w:cs="Times New Roman"/>
          <w:color w:val="000000"/>
          <w:sz w:val="20"/>
          <w:szCs w:val="20"/>
        </w:rPr>
        <w:t xml:space="preserve"> he concluded</w:t>
      </w:r>
      <w:r w:rsidR="008B54D4" w:rsidRPr="00472B68">
        <w:rPr>
          <w:rFonts w:eastAsia="Times New Roman" w:cs="Times New Roman"/>
          <w:color w:val="000000"/>
          <w:sz w:val="20"/>
          <w:szCs w:val="20"/>
        </w:rPr>
        <w:t>,</w:t>
      </w:r>
      <w:r w:rsidRPr="00472B68">
        <w:rPr>
          <w:rFonts w:eastAsia="Times New Roman" w:cs="Times New Roman"/>
          <w:color w:val="000000"/>
          <w:sz w:val="20"/>
          <w:szCs w:val="20"/>
        </w:rPr>
        <w:t xml:space="preserve"> the best interest test does not require analysis of the claimant</w:t>
      </w:r>
      <w:r w:rsidR="008B54D4" w:rsidRPr="00472B68">
        <w:rPr>
          <w:rFonts w:eastAsia="Times New Roman" w:cs="Times New Roman"/>
          <w:color w:val="000000"/>
          <w:sz w:val="20"/>
          <w:szCs w:val="20"/>
        </w:rPr>
        <w:t>’</w:t>
      </w:r>
      <w:r w:rsidRPr="00472B68">
        <w:rPr>
          <w:rFonts w:eastAsia="Times New Roman" w:cs="Times New Roman"/>
          <w:color w:val="000000"/>
          <w:sz w:val="20"/>
          <w:szCs w:val="20"/>
        </w:rPr>
        <w:t>s rights against third parties</w:t>
      </w:r>
      <w:r w:rsidR="006A227C" w:rsidRPr="00472B68">
        <w:rPr>
          <w:rFonts w:eastAsia="Times New Roman" w:cs="Times New Roman"/>
          <w:color w:val="000000"/>
          <w:sz w:val="20"/>
          <w:szCs w:val="20"/>
        </w:rPr>
        <w:t xml:space="preserve">.  </w:t>
      </w:r>
      <w:r w:rsidR="00FD7892" w:rsidRPr="00472B68">
        <w:rPr>
          <w:rFonts w:eastAsia="Times New Roman" w:cs="Times New Roman"/>
          <w:i/>
          <w:iCs/>
          <w:color w:val="000000"/>
          <w:sz w:val="20"/>
          <w:szCs w:val="20"/>
        </w:rPr>
        <w:t>Id.</w:t>
      </w:r>
      <w:r w:rsidR="009A6D82">
        <w:rPr>
          <w:rFonts w:eastAsia="Times New Roman" w:cs="Times New Roman"/>
          <w:i/>
          <w:iCs/>
          <w:color w:val="000000"/>
          <w:sz w:val="20"/>
          <w:szCs w:val="20"/>
        </w:rPr>
        <w:t xml:space="preserve"> </w:t>
      </w:r>
      <w:r w:rsidR="00FD7892" w:rsidRPr="00472B68">
        <w:rPr>
          <w:rFonts w:eastAsia="Times New Roman" w:cs="Times New Roman"/>
          <w:i/>
          <w:iCs/>
          <w:color w:val="000000"/>
          <w:sz w:val="20"/>
          <w:szCs w:val="20"/>
        </w:rPr>
        <w:t xml:space="preserve"> </w:t>
      </w:r>
      <w:r w:rsidRPr="00472B68">
        <w:rPr>
          <w:rFonts w:eastAsia="Times New Roman" w:cs="Times New Roman"/>
          <w:color w:val="000000"/>
          <w:sz w:val="20"/>
          <w:szCs w:val="20"/>
        </w:rPr>
        <w:t>He acknowledged that his reading of the statute was at odds with at least two of his colleagues</w:t>
      </w:r>
      <w:r w:rsidR="008B54D4" w:rsidRPr="00472B68">
        <w:rPr>
          <w:rFonts w:eastAsia="Times New Roman" w:cs="Times New Roman"/>
          <w:color w:val="000000"/>
          <w:sz w:val="20"/>
          <w:szCs w:val="20"/>
        </w:rPr>
        <w:t>’</w:t>
      </w:r>
      <w:r w:rsidRPr="00472B68">
        <w:rPr>
          <w:rFonts w:eastAsia="Times New Roman" w:cs="Times New Roman"/>
          <w:color w:val="000000"/>
          <w:sz w:val="20"/>
          <w:szCs w:val="20"/>
        </w:rPr>
        <w:t xml:space="preserve"> reading of the same statute</w:t>
      </w:r>
      <w:r w:rsidR="006A227C" w:rsidRPr="00472B68">
        <w:rPr>
          <w:rFonts w:eastAsia="Times New Roman" w:cs="Times New Roman"/>
          <w:color w:val="000000"/>
          <w:sz w:val="20"/>
          <w:szCs w:val="20"/>
        </w:rPr>
        <w:t xml:space="preserve">.  </w:t>
      </w:r>
      <w:r w:rsidRPr="00472B68">
        <w:rPr>
          <w:rFonts w:eastAsia="Times New Roman" w:cs="Times New Roman"/>
          <w:color w:val="000000"/>
          <w:sz w:val="20"/>
          <w:szCs w:val="20"/>
        </w:rPr>
        <w:t>I mention this fact but it has nothing to do with the ultimate decision on this appeal.</w:t>
      </w:r>
    </w:p>
  </w:footnote>
  <w:footnote w:id="27">
    <w:p w14:paraId="563C559F" w14:textId="2E04078B" w:rsidR="00A77BBD" w:rsidRPr="00472B68" w:rsidRDefault="00A77BBD" w:rsidP="00522B24">
      <w:pPr>
        <w:pStyle w:val="FootnoteText"/>
      </w:pPr>
      <w:r w:rsidRPr="00472B68">
        <w:rPr>
          <w:rStyle w:val="FootnoteReference"/>
          <w:rFonts w:eastAsia="Times New Roman" w:cs="Times New Roman"/>
          <w:color w:val="000000"/>
          <w:szCs w:val="20"/>
          <w:vertAlign w:val="superscript"/>
        </w:rPr>
        <w:footnoteRef/>
      </w:r>
      <w:r w:rsidR="00522B24">
        <w:t xml:space="preserve"> </w:t>
      </w:r>
      <w:r w:rsidRPr="00472B68">
        <w:t>“Non-core” proceedings are interchangeably referred to as “related to” proceedings.</w:t>
      </w:r>
    </w:p>
  </w:footnote>
  <w:footnote w:id="28">
    <w:p w14:paraId="13A606B9" w14:textId="3D138F1C" w:rsidR="00A77BBD" w:rsidRPr="00472B68" w:rsidRDefault="00A77BBD" w:rsidP="00522B24">
      <w:pPr>
        <w:pStyle w:val="FootnoteText"/>
        <w:rPr>
          <w:szCs w:val="20"/>
        </w:rPr>
      </w:pPr>
      <w:r w:rsidRPr="00472B68">
        <w:rPr>
          <w:rStyle w:val="FootnoteReference"/>
          <w:rFonts w:eastAsia="Times New Roman" w:cs="Times New Roman"/>
          <w:color w:val="000000"/>
          <w:szCs w:val="20"/>
          <w:vertAlign w:val="superscript"/>
        </w:rPr>
        <w:footnoteRef/>
      </w:r>
      <w:r w:rsidR="00522B24">
        <w:t xml:space="preserve"> </w:t>
      </w:r>
      <w:r w:rsidRPr="00472B68">
        <w:t>The core/non-core distinction is also critically important when assessing the bankruptcy court</w:t>
      </w:r>
      <w:r w:rsidR="008B54D4" w:rsidRPr="00472B68">
        <w:t>’</w:t>
      </w:r>
      <w:r w:rsidRPr="00472B68">
        <w:t>s subject matter</w:t>
      </w:r>
      <w:r w:rsidR="00522B24">
        <w:t xml:space="preserve"> </w:t>
      </w:r>
      <w:r w:rsidRPr="00472B68">
        <w:rPr>
          <w:rFonts w:eastAsia="Times New Roman" w:cs="Times New Roman"/>
          <w:color w:val="000000"/>
          <w:szCs w:val="20"/>
        </w:rPr>
        <w:t>jurisdiction</w:t>
      </w:r>
      <w:r w:rsidR="008B54D4" w:rsidRPr="00472B68">
        <w:rPr>
          <w:rFonts w:eastAsia="Times New Roman" w:cs="Times New Roman"/>
          <w:color w:val="000000"/>
          <w:szCs w:val="20"/>
        </w:rPr>
        <w:t>,</w:t>
      </w:r>
      <w:r w:rsidRPr="00472B68">
        <w:rPr>
          <w:rFonts w:eastAsia="Times New Roman" w:cs="Times New Roman"/>
          <w:color w:val="000000"/>
          <w:szCs w:val="20"/>
        </w:rPr>
        <w:t xml:space="preserve"> a topic that will be taken in that section.</w:t>
      </w:r>
    </w:p>
  </w:footnote>
  <w:footnote w:id="29">
    <w:p w14:paraId="71BE27B8" w14:textId="63D99131" w:rsidR="00A77BBD" w:rsidRPr="00472B68" w:rsidRDefault="00A77BBD" w:rsidP="00D850FE">
      <w:pPr>
        <w:pStyle w:val="FootnoteText"/>
        <w:rPr>
          <w:szCs w:val="20"/>
        </w:rPr>
      </w:pPr>
      <w:r w:rsidRPr="00472B68">
        <w:rPr>
          <w:rStyle w:val="FootnoteReference"/>
          <w:rFonts w:eastAsia="Times New Roman" w:cs="Times New Roman"/>
          <w:color w:val="000000"/>
          <w:szCs w:val="20"/>
          <w:vertAlign w:val="superscript"/>
        </w:rPr>
        <w:footnoteRef/>
      </w:r>
      <w:r w:rsidR="00D850FE">
        <w:t xml:space="preserve"> </w:t>
      </w:r>
      <w:r w:rsidRPr="00472B68">
        <w:rPr>
          <w:i/>
          <w:iCs/>
        </w:rPr>
        <w:t>In re Kirwan Offices S.a.R.L.</w:t>
      </w:r>
      <w:r w:rsidR="008B54D4" w:rsidRPr="00472B68">
        <w:rPr>
          <w:i/>
          <w:iCs/>
        </w:rPr>
        <w:t>,</w:t>
      </w:r>
      <w:hyperlink r:id="rId17" w:history="1">
        <w:r w:rsidRPr="00472B68">
          <w:t xml:space="preserve"> 594 </w:t>
        </w:r>
        <w:r w:rsidR="00755A0D" w:rsidRPr="00472B68">
          <w:t xml:space="preserve">B.R. </w:t>
        </w:r>
        <w:r w:rsidRPr="00472B68">
          <w:t>489</w:t>
        </w:r>
      </w:hyperlink>
      <w:r w:rsidRPr="00472B68">
        <w:t xml:space="preserve"> (</w:t>
      </w:r>
      <w:r w:rsidR="002A2716" w:rsidRPr="00472B68">
        <w:t xml:space="preserve">S.D.N.Y. </w:t>
      </w:r>
      <w:r w:rsidRPr="00472B68">
        <w:t xml:space="preserve">2018) does not stand for the proposition that </w:t>
      </w:r>
      <w:r w:rsidRPr="00472B68">
        <w:rPr>
          <w:i/>
          <w:iCs/>
        </w:rPr>
        <w:t>Stern</w:t>
      </w:r>
      <w:r w:rsidRPr="00472B68">
        <w:t xml:space="preserve"> authorizes a bankruptcy court to release non-core claims because a release is not a final judgment on the merits of the third-party claim</w:t>
      </w:r>
      <w:r w:rsidR="006A227C" w:rsidRPr="00472B68">
        <w:t xml:space="preserve">.  </w:t>
      </w:r>
      <w:r w:rsidRPr="00472B68">
        <w:t>In that case</w:t>
      </w:r>
      <w:r w:rsidR="008B54D4" w:rsidRPr="00472B68">
        <w:t>,</w:t>
      </w:r>
      <w:r w:rsidRPr="00472B68">
        <w:t xml:space="preserve"> </w:t>
      </w:r>
      <w:r w:rsidRPr="00472B68">
        <w:rPr>
          <w:i/>
          <w:iCs/>
        </w:rPr>
        <w:t>Stern</w:t>
      </w:r>
      <w:r w:rsidRPr="00472B68">
        <w:t xml:space="preserve"> was of no moment because</w:t>
      </w:r>
      <w:r w:rsidR="008B54D4" w:rsidRPr="00472B68">
        <w:t>,</w:t>
      </w:r>
      <w:r w:rsidRPr="00472B68">
        <w:t xml:space="preserve"> as this court held and the Second Circuit affirmed</w:t>
      </w:r>
      <w:r w:rsidR="008B54D4" w:rsidRPr="00472B68">
        <w:t>,</w:t>
      </w:r>
      <w:r w:rsidRPr="00472B68">
        <w:t xml:space="preserve"> all parties had consented to the bankruptcy court</w:t>
      </w:r>
      <w:r w:rsidR="008B54D4" w:rsidRPr="00472B68">
        <w:t>’</w:t>
      </w:r>
      <w:r w:rsidRPr="00472B68">
        <w:t>s exercise of jurisdiction</w:t>
      </w:r>
      <w:r w:rsidR="006A227C" w:rsidRPr="00472B68">
        <w:t xml:space="preserve">.  </w:t>
      </w:r>
      <w:r w:rsidRPr="00472B68">
        <w:rPr>
          <w:i/>
          <w:iCs/>
        </w:rPr>
        <w:t>In re Kirwan Offices</w:t>
      </w:r>
      <w:r w:rsidR="00D850FE">
        <w:rPr>
          <w:i/>
          <w:iCs/>
        </w:rPr>
        <w:t xml:space="preserve"> </w:t>
      </w:r>
      <w:r w:rsidRPr="00472B68">
        <w:rPr>
          <w:rFonts w:eastAsia="Times New Roman" w:cs="Times New Roman"/>
          <w:i/>
          <w:iCs/>
          <w:color w:val="000000"/>
          <w:szCs w:val="20"/>
        </w:rPr>
        <w:t>S.a.R.L</w:t>
      </w:r>
      <w:r w:rsidR="008B54D4" w:rsidRPr="00472B68">
        <w:rPr>
          <w:rFonts w:eastAsia="Times New Roman" w:cs="Times New Roman"/>
          <w:color w:val="000000"/>
          <w:szCs w:val="20"/>
        </w:rPr>
        <w:t>,</w:t>
      </w:r>
      <w:r w:rsidRPr="00472B68">
        <w:rPr>
          <w:rFonts w:eastAsia="Times New Roman" w:cs="Times New Roman"/>
          <w:color w:val="000000"/>
          <w:szCs w:val="20"/>
        </w:rPr>
        <w:t xml:space="preserve"> </w:t>
      </w:r>
      <w:hyperlink r:id="rId18" w:history="1">
        <w:r w:rsidRPr="00472B68">
          <w:rPr>
            <w:rFonts w:eastAsia="Times New Roman" w:cs="Times New Roman"/>
            <w:color w:val="000000"/>
            <w:szCs w:val="20"/>
          </w:rPr>
          <w:t>792</w:t>
        </w:r>
        <w:r w:rsidR="006E01F7" w:rsidRPr="00472B68">
          <w:rPr>
            <w:rFonts w:eastAsia="Times New Roman" w:cs="Times New Roman"/>
            <w:color w:val="000000"/>
            <w:szCs w:val="20"/>
          </w:rPr>
          <w:t xml:space="preserve"> F. </w:t>
        </w:r>
        <w:r w:rsidRPr="00472B68">
          <w:rPr>
            <w:rFonts w:eastAsia="Times New Roman" w:cs="Times New Roman"/>
            <w:color w:val="000000"/>
            <w:szCs w:val="20"/>
          </w:rPr>
          <w:t>App</w:t>
        </w:r>
        <w:r w:rsidR="008B54D4" w:rsidRPr="00472B68">
          <w:rPr>
            <w:rFonts w:eastAsia="Times New Roman" w:cs="Times New Roman"/>
            <w:color w:val="000000"/>
            <w:szCs w:val="20"/>
          </w:rPr>
          <w:t>’</w:t>
        </w:r>
        <w:r w:rsidRPr="00472B68">
          <w:rPr>
            <w:rFonts w:eastAsia="Times New Roman" w:cs="Times New Roman"/>
            <w:color w:val="000000"/>
            <w:szCs w:val="20"/>
          </w:rPr>
          <w:t>x 99</w:t>
        </w:r>
        <w:r w:rsidR="008B54D4" w:rsidRPr="00472B68">
          <w:rPr>
            <w:rFonts w:eastAsia="Times New Roman" w:cs="Times New Roman"/>
            <w:color w:val="000000"/>
            <w:szCs w:val="20"/>
          </w:rPr>
          <w:t>,</w:t>
        </w:r>
        <w:r w:rsidRPr="00472B68">
          <w:rPr>
            <w:rFonts w:eastAsia="Times New Roman" w:cs="Times New Roman"/>
            <w:color w:val="000000"/>
            <w:szCs w:val="20"/>
          </w:rPr>
          <w:t xml:space="preserve"> 103</w:t>
        </w:r>
      </w:hyperlink>
      <w:r w:rsidRPr="00472B68">
        <w:rPr>
          <w:rFonts w:eastAsia="Times New Roman" w:cs="Times New Roman"/>
          <w:color w:val="000000"/>
          <w:szCs w:val="20"/>
        </w:rPr>
        <w:t xml:space="preserve"> (2d </w:t>
      </w:r>
      <w:r w:rsidR="006E01F7" w:rsidRPr="00472B68">
        <w:rPr>
          <w:rFonts w:eastAsia="Times New Roman" w:cs="Times New Roman"/>
          <w:color w:val="000000"/>
          <w:szCs w:val="20"/>
        </w:rPr>
        <w:t xml:space="preserve">Cir. </w:t>
      </w:r>
      <w:r w:rsidRPr="00472B68">
        <w:rPr>
          <w:rFonts w:eastAsia="Times New Roman" w:cs="Times New Roman"/>
          <w:color w:val="000000"/>
          <w:szCs w:val="20"/>
        </w:rPr>
        <w:t>2019).</w:t>
      </w:r>
    </w:p>
  </w:footnote>
  <w:footnote w:id="30">
    <w:p w14:paraId="7CE686E5" w14:textId="16D2DA81" w:rsidR="00A77BBD" w:rsidRPr="00472B68" w:rsidRDefault="00A77BBD" w:rsidP="000D3228">
      <w:pPr>
        <w:pStyle w:val="FootnoteText"/>
      </w:pPr>
      <w:r w:rsidRPr="00472B68">
        <w:rPr>
          <w:rStyle w:val="FootnoteReference"/>
          <w:rFonts w:eastAsia="Times New Roman" w:cs="Times New Roman"/>
          <w:color w:val="000000"/>
          <w:szCs w:val="20"/>
          <w:vertAlign w:val="superscript"/>
        </w:rPr>
        <w:footnoteRef/>
      </w:r>
      <w:r w:rsidR="000D3228">
        <w:t xml:space="preserve"> </w:t>
      </w:r>
      <w:r w:rsidRPr="00472B68">
        <w:t xml:space="preserve">The Section 10.7 Shareholder Release extends to every </w:t>
      </w:r>
      <w:r w:rsidR="00E82FD6">
        <w:t>Packler</w:t>
      </w:r>
      <w:r w:rsidRPr="00472B68">
        <w:t xml:space="preserve"> presently alive</w:t>
      </w:r>
      <w:r w:rsidR="008B54D4" w:rsidRPr="00472B68">
        <w:t>,</w:t>
      </w:r>
      <w:r w:rsidRPr="00472B68">
        <w:t xml:space="preserve"> to their unborn progeny</w:t>
      </w:r>
      <w:r w:rsidR="008B54D4" w:rsidRPr="00472B68">
        <w:t>,</w:t>
      </w:r>
      <w:r w:rsidRPr="00472B68">
        <w:t xml:space="preserve"> and to various trusts</w:t>
      </w:r>
      <w:r w:rsidR="008B54D4" w:rsidRPr="00472B68">
        <w:t>,</w:t>
      </w:r>
      <w:r w:rsidRPr="00472B68">
        <w:t xml:space="preserve"> partnerships</w:t>
      </w:r>
      <w:r w:rsidR="008B54D4" w:rsidRPr="00472B68">
        <w:t>,</w:t>
      </w:r>
      <w:r w:rsidRPr="00472B68">
        <w:t xml:space="preserve"> corporations</w:t>
      </w:r>
      <w:r w:rsidR="008B54D4" w:rsidRPr="00472B68">
        <w:t>,</w:t>
      </w:r>
      <w:r w:rsidRPr="00472B68">
        <w:t xml:space="preserve"> and enterprises with which they are affiliated or that have been formed for their benefit</w:t>
      </w:r>
      <w:r w:rsidR="006A227C" w:rsidRPr="00472B68">
        <w:t xml:space="preserve">.  </w:t>
      </w:r>
      <w:r w:rsidRPr="00472B68">
        <w:t>Exhibit X to the Settlement Agreement</w:t>
      </w:r>
      <w:r w:rsidR="008B54D4" w:rsidRPr="00472B68">
        <w:t>,</w:t>
      </w:r>
      <w:r w:rsidRPr="00472B68">
        <w:t xml:space="preserve"> expressly incorporated into the Plan identifies over 1</w:t>
      </w:r>
      <w:r w:rsidR="008B54D4" w:rsidRPr="00472B68">
        <w:t>,</w:t>
      </w:r>
      <w:r w:rsidRPr="00472B68">
        <w:t>000 separate released parties</w:t>
      </w:r>
      <w:r w:rsidR="008B54D4" w:rsidRPr="00472B68">
        <w:t>,</w:t>
      </w:r>
      <w:r w:rsidRPr="00472B68">
        <w:t xml:space="preserve"> either by name or by some “identifying” feature</w:t>
      </w:r>
      <w:r w:rsidR="008B54D4" w:rsidRPr="00472B68">
        <w:t>,</w:t>
      </w:r>
      <w:r w:rsidRPr="00472B68">
        <w:t xml:space="preserve"> such as “the assets</w:t>
      </w:r>
      <w:r w:rsidR="008B54D4" w:rsidRPr="00472B68">
        <w:t>,</w:t>
      </w:r>
      <w:r w:rsidRPr="00472B68">
        <w:t xml:space="preserve"> businesses and entities owned by” the named released parties</w:t>
      </w:r>
      <w:r w:rsidR="006A227C" w:rsidRPr="00472B68">
        <w:t xml:space="preserve">.  </w:t>
      </w:r>
    </w:p>
  </w:footnote>
  <w:footnote w:id="31">
    <w:p w14:paraId="32D207DD" w14:textId="5C9A120F" w:rsidR="00A77BBD" w:rsidRPr="00472B68" w:rsidRDefault="00A77BBD" w:rsidP="000D3228">
      <w:pPr>
        <w:pStyle w:val="FootnoteText"/>
        <w:rPr>
          <w:szCs w:val="20"/>
        </w:rPr>
      </w:pPr>
      <w:r w:rsidRPr="00472B68">
        <w:rPr>
          <w:rStyle w:val="FootnoteReference"/>
          <w:rFonts w:eastAsia="Times New Roman" w:cs="Times New Roman"/>
          <w:color w:val="000000"/>
          <w:szCs w:val="20"/>
          <w:vertAlign w:val="superscript"/>
        </w:rPr>
        <w:footnoteRef/>
      </w:r>
      <w:r w:rsidR="000D3228">
        <w:rPr>
          <w:rFonts w:eastAsia="Times New Roman" w:cs="Times New Roman"/>
          <w:color w:val="000000"/>
          <w:szCs w:val="20"/>
        </w:rPr>
        <w:t xml:space="preserve"> </w:t>
      </w:r>
      <w:r w:rsidRPr="00472B68">
        <w:rPr>
          <w:rFonts w:eastAsia="Times New Roman" w:cs="Times New Roman"/>
          <w:color w:val="000000"/>
          <w:szCs w:val="20"/>
        </w:rPr>
        <w:t xml:space="preserve">While Judge </w:t>
      </w:r>
      <w:r w:rsidR="00E82FD6">
        <w:rPr>
          <w:rFonts w:eastAsia="Times New Roman" w:cs="Times New Roman"/>
          <w:color w:val="000000"/>
          <w:szCs w:val="20"/>
        </w:rPr>
        <w:t>Wains</w:t>
      </w:r>
      <w:r w:rsidRPr="00472B68">
        <w:rPr>
          <w:rFonts w:eastAsia="Times New Roman" w:cs="Times New Roman"/>
          <w:color w:val="000000"/>
          <w:szCs w:val="20"/>
        </w:rPr>
        <w:t xml:space="preserve"> expressly found that these claims were not derivative (</w:t>
      </w:r>
      <w:r w:rsidRPr="00472B68">
        <w:rPr>
          <w:rFonts w:eastAsia="Times New Roman" w:cs="Times New Roman"/>
          <w:i/>
          <w:iCs/>
          <w:color w:val="000000"/>
          <w:szCs w:val="20"/>
        </w:rPr>
        <w:t xml:space="preserve">In re </w:t>
      </w:r>
      <w:r w:rsidR="006239B5">
        <w:rPr>
          <w:rFonts w:eastAsia="Times New Roman" w:cs="Times New Roman"/>
          <w:i/>
          <w:iCs/>
          <w:color w:val="000000"/>
          <w:szCs w:val="20"/>
        </w:rPr>
        <w:t>Oxy</w:t>
      </w:r>
      <w:r w:rsidRPr="00472B68">
        <w:rPr>
          <w:rFonts w:eastAsia="Times New Roman" w:cs="Times New Roman"/>
          <w:i/>
          <w:iCs/>
          <w:color w:val="000000"/>
          <w:szCs w:val="20"/>
        </w:rPr>
        <w:t xml:space="preserve"> Pharma L.P</w:t>
      </w:r>
      <w:r w:rsidRPr="00472B68">
        <w:rPr>
          <w:rFonts w:eastAsia="Times New Roman" w:cs="Times New Roman"/>
          <w:color w:val="000000"/>
          <w:szCs w:val="20"/>
        </w:rPr>
        <w:t>.</w:t>
      </w:r>
      <w:r w:rsidR="008B54D4" w:rsidRPr="00472B68">
        <w:rPr>
          <w:rFonts w:eastAsia="Times New Roman" w:cs="Times New Roman"/>
          <w:color w:val="000000"/>
          <w:szCs w:val="20"/>
        </w:rPr>
        <w:t>,</w:t>
      </w:r>
      <w:r w:rsidRPr="00472B68">
        <w:rPr>
          <w:rFonts w:eastAsia="Times New Roman" w:cs="Times New Roman"/>
          <w:color w:val="000000"/>
          <w:szCs w:val="20"/>
        </w:rPr>
        <w:t xml:space="preserve"> </w:t>
      </w:r>
      <w:hyperlink r:id="rId19" w:history="1">
        <w:r w:rsidRPr="00472B68">
          <w:rPr>
            <w:rFonts w:eastAsia="Times New Roman" w:cs="Times New Roman"/>
            <w:color w:val="000000"/>
            <w:szCs w:val="20"/>
          </w:rPr>
          <w:t>2021 WL</w:t>
        </w:r>
      </w:hyperlink>
      <w:r w:rsidRPr="00472B68">
        <w:rPr>
          <w:rFonts w:eastAsia="Times New Roman" w:cs="Times New Roman"/>
          <w:color w:val="000000"/>
          <w:szCs w:val="20"/>
        </w:rPr>
        <w:t xml:space="preserve"> </w:t>
      </w:r>
      <w:hyperlink r:id="rId20" w:history="1">
        <w:r w:rsidRPr="00472B68">
          <w:rPr>
            <w:rFonts w:eastAsia="Times New Roman" w:cs="Times New Roman"/>
            <w:color w:val="000000"/>
            <w:szCs w:val="20"/>
          </w:rPr>
          <w:t>4240974</w:t>
        </w:r>
      </w:hyperlink>
      <w:r w:rsidR="008B54D4" w:rsidRPr="00472B68">
        <w:rPr>
          <w:rFonts w:eastAsia="Times New Roman" w:cs="Times New Roman"/>
          <w:color w:val="000000"/>
          <w:szCs w:val="20"/>
        </w:rPr>
        <w:t>,</w:t>
      </w:r>
      <w:r w:rsidRPr="00472B68">
        <w:rPr>
          <w:rFonts w:eastAsia="Times New Roman" w:cs="Times New Roman"/>
          <w:color w:val="000000"/>
          <w:szCs w:val="20"/>
        </w:rPr>
        <w:t xml:space="preserve"> at *44)</w:t>
      </w:r>
      <w:r w:rsidR="008B54D4" w:rsidRPr="00472B68">
        <w:rPr>
          <w:rFonts w:eastAsia="Times New Roman" w:cs="Times New Roman"/>
          <w:color w:val="000000"/>
          <w:szCs w:val="20"/>
        </w:rPr>
        <w:t>,</w:t>
      </w:r>
      <w:r w:rsidRPr="00472B68">
        <w:rPr>
          <w:rFonts w:eastAsia="Times New Roman" w:cs="Times New Roman"/>
          <w:color w:val="000000"/>
          <w:szCs w:val="20"/>
        </w:rPr>
        <w:t xml:space="preserve"> he was quite clear that the congruence between these claims and derivative claims against the same individuals was critically important to his conclusion that they could be released.</w:t>
      </w:r>
    </w:p>
  </w:footnote>
  <w:footnote w:id="32">
    <w:p w14:paraId="3E8468C0" w14:textId="042BB222" w:rsidR="00A77BBD" w:rsidRPr="00472B68" w:rsidRDefault="00A77BBD" w:rsidP="00964D23">
      <w:pPr>
        <w:pStyle w:val="FootnoteText"/>
      </w:pPr>
      <w:r w:rsidRPr="00472B68">
        <w:rPr>
          <w:rStyle w:val="FootnoteReference"/>
          <w:rFonts w:eastAsia="Times New Roman" w:cs="Times New Roman"/>
          <w:color w:val="000000"/>
          <w:szCs w:val="20"/>
          <w:vertAlign w:val="superscript"/>
        </w:rPr>
        <w:footnoteRef/>
      </w:r>
      <w:r w:rsidR="00964D23">
        <w:t xml:space="preserve"> </w:t>
      </w:r>
      <w:r w:rsidR="005227D9">
        <w:t xml:space="preserve">We </w:t>
      </w:r>
      <w:r w:rsidRPr="00472B68">
        <w:t>can only assume that this argument derives from Congress</w:t>
      </w:r>
      <w:r w:rsidR="008B54D4" w:rsidRPr="00472B68">
        <w:t>’</w:t>
      </w:r>
      <w:r w:rsidRPr="00472B68">
        <w:t xml:space="preserve"> mention of the fact that courts dealing with non</w:t>
      </w:r>
      <w:r w:rsidRPr="00472B68">
        <w:softHyphen/>
        <w:t>asbestos bankruptcies were “reportedly beginning to experiment with similar mechanism.”</w:t>
      </w:r>
    </w:p>
  </w:footnote>
  <w:footnote w:id="33">
    <w:p w14:paraId="78B361D1" w14:textId="44E940CF" w:rsidR="00A77BBD" w:rsidRPr="00472B68" w:rsidRDefault="00A77BBD" w:rsidP="00AB5D25">
      <w:pPr>
        <w:pStyle w:val="FootnoteText"/>
      </w:pPr>
      <w:r w:rsidRPr="00472B68">
        <w:rPr>
          <w:rStyle w:val="FootnoteReference"/>
          <w:rFonts w:eastAsia="Times New Roman" w:cs="Times New Roman"/>
          <w:color w:val="000000"/>
          <w:szCs w:val="20"/>
          <w:vertAlign w:val="superscript"/>
        </w:rPr>
        <w:footnoteRef/>
      </w:r>
      <w:r w:rsidR="00AB5D25">
        <w:t xml:space="preserve"> </w:t>
      </w:r>
      <w:r w:rsidRPr="00472B68">
        <w:t>In a structured dismissal</w:t>
      </w:r>
      <w:r w:rsidR="008B54D4" w:rsidRPr="00472B68">
        <w:t>,</w:t>
      </w:r>
      <w:r w:rsidRPr="00472B68">
        <w:t xml:space="preserve"> the debtor obtains an order that simultaneously dismisses its chapter 11 case and provides for the administration and distribution of its remaining assets.</w:t>
      </w:r>
    </w:p>
  </w:footnote>
  <w:footnote w:id="34">
    <w:p w14:paraId="14BC877D" w14:textId="24E16648" w:rsidR="00A77BBD" w:rsidRPr="00472B68" w:rsidRDefault="00A77BBD" w:rsidP="005B05F9">
      <w:pPr>
        <w:pStyle w:val="FootnoteText"/>
      </w:pPr>
      <w:r w:rsidRPr="00472B68">
        <w:rPr>
          <w:rStyle w:val="FootnoteReference"/>
          <w:rFonts w:eastAsia="Times New Roman" w:cs="Times New Roman"/>
          <w:color w:val="000000"/>
          <w:szCs w:val="20"/>
          <w:vertAlign w:val="superscript"/>
        </w:rPr>
        <w:footnoteRef/>
      </w:r>
      <w:r w:rsidR="005B05F9">
        <w:t xml:space="preserve"> </w:t>
      </w:r>
      <w:r w:rsidRPr="00472B68">
        <w:t xml:space="preserve">The Court is advised that the </w:t>
      </w:r>
      <w:r w:rsidRPr="00472B68">
        <w:rPr>
          <w:i/>
          <w:iCs/>
        </w:rPr>
        <w:t>Manville I</w:t>
      </w:r>
      <w:r w:rsidRPr="00472B68">
        <w:t xml:space="preserve"> injunction did not conform in every particular to the rules set out in Section 524(g)</w:t>
      </w:r>
      <w:r w:rsidR="008B54D4" w:rsidRPr="00472B68">
        <w:t>,</w:t>
      </w:r>
      <w:r w:rsidRPr="00472B68">
        <w:t xml:space="preserve"> and that Section 524(h) was included in the Bankruptcy Code to be sure that the </w:t>
      </w:r>
      <w:r w:rsidRPr="00472B68">
        <w:rPr>
          <w:i/>
          <w:iCs/>
        </w:rPr>
        <w:t>Manville I</w:t>
      </w:r>
      <w:r w:rsidRPr="00472B68">
        <w:t xml:space="preserve"> injunction was deemed to be Code-compliant notwithstanding that fact.</w:t>
      </w:r>
    </w:p>
  </w:footnote>
  <w:footnote w:id="35">
    <w:p w14:paraId="1FA683EE" w14:textId="4EFB972C" w:rsidR="00A77BBD" w:rsidRPr="00472B68" w:rsidRDefault="00A77BBD" w:rsidP="005B05F9">
      <w:pPr>
        <w:pStyle w:val="FootnoteText"/>
      </w:pPr>
      <w:r w:rsidRPr="00472B68">
        <w:rPr>
          <w:rStyle w:val="FootnoteReference"/>
          <w:rFonts w:eastAsia="Times New Roman" w:cs="Times New Roman"/>
          <w:color w:val="000000"/>
          <w:szCs w:val="20"/>
          <w:vertAlign w:val="superscript"/>
        </w:rPr>
        <w:footnoteRef/>
      </w:r>
      <w:r w:rsidR="005B05F9">
        <w:t xml:space="preserve"> </w:t>
      </w:r>
      <w:r w:rsidRPr="00472B68">
        <w:t xml:space="preserve">It bears reiterating that </w:t>
      </w:r>
      <w:r w:rsidRPr="00472B68">
        <w:rPr>
          <w:i/>
          <w:iCs/>
        </w:rPr>
        <w:t>Drexel</w:t>
      </w:r>
      <w:r w:rsidRPr="00472B68">
        <w:t xml:space="preserve"> was one of those cases to which the Judiciary Committee referred when it said that debtors in other industries were “reportedly experimenting” with non-debtor injunctions in the years prior to the passage of Section 524(g)</w:t>
      </w:r>
      <w:r w:rsidR="006A227C" w:rsidRPr="00472B68">
        <w:t xml:space="preserve">.  </w:t>
      </w:r>
      <w:r w:rsidRPr="00472B68">
        <w:rPr>
          <w:i/>
          <w:iCs/>
        </w:rPr>
        <w:t>See supra</w:t>
      </w:r>
      <w:r w:rsidR="008B54D4" w:rsidRPr="00472B68">
        <w:t>,</w:t>
      </w:r>
      <w:r w:rsidRPr="00472B68">
        <w:t xml:space="preserve"> note 59.</w:t>
      </w:r>
    </w:p>
  </w:footnote>
  <w:footnote w:id="36">
    <w:p w14:paraId="6058E177" w14:textId="4D892A8C" w:rsidR="00A77BBD" w:rsidRPr="00472B68" w:rsidRDefault="00A77BBD" w:rsidP="005B05F9">
      <w:pPr>
        <w:pStyle w:val="FootnoteText"/>
      </w:pPr>
      <w:r w:rsidRPr="00472B68">
        <w:rPr>
          <w:rStyle w:val="FootnoteReference"/>
          <w:rFonts w:eastAsia="Times New Roman" w:cs="Times New Roman"/>
          <w:color w:val="000000"/>
          <w:szCs w:val="20"/>
          <w:vertAlign w:val="superscript"/>
        </w:rPr>
        <w:footnoteRef/>
      </w:r>
      <w:r w:rsidR="005B05F9">
        <w:t xml:space="preserve"> </w:t>
      </w:r>
      <w:r w:rsidRPr="00472B68">
        <w:rPr>
          <w:i/>
          <w:iCs/>
        </w:rPr>
        <w:t>In re Dairy Mart</w:t>
      </w:r>
      <w:r w:rsidRPr="00472B68">
        <w:t xml:space="preserve"> was hardly the first time this settled principle had been recognized by the Second Circuit</w:t>
      </w:r>
      <w:r w:rsidR="006A227C" w:rsidRPr="00472B68">
        <w:rPr>
          <w:i/>
          <w:iCs/>
        </w:rPr>
        <w:t xml:space="preserve">.  </w:t>
      </w:r>
      <w:r w:rsidRPr="00472B68">
        <w:rPr>
          <w:i/>
          <w:iCs/>
        </w:rPr>
        <w:t>See</w:t>
      </w:r>
      <w:r w:rsidR="008B54D4" w:rsidRPr="00472B68">
        <w:rPr>
          <w:i/>
          <w:iCs/>
        </w:rPr>
        <w:t>,</w:t>
      </w:r>
      <w:r w:rsidRPr="00472B68">
        <w:rPr>
          <w:i/>
          <w:iCs/>
        </w:rPr>
        <w:t xml:space="preserve"> e.g</w:t>
      </w:r>
      <w:r w:rsidRPr="00472B68">
        <w:t>.</w:t>
      </w:r>
      <w:r w:rsidR="008B54D4" w:rsidRPr="00472B68">
        <w:t>,</w:t>
      </w:r>
      <w:r w:rsidRPr="00472B68">
        <w:t xml:space="preserve"> </w:t>
      </w:r>
      <w:r w:rsidRPr="00472B68">
        <w:rPr>
          <w:i/>
          <w:iCs/>
        </w:rPr>
        <w:t>FDIC</w:t>
      </w:r>
      <w:r w:rsidR="00E150C1" w:rsidRPr="00472B68">
        <w:rPr>
          <w:i/>
          <w:iCs/>
        </w:rPr>
        <w:t xml:space="preserve"> v. </w:t>
      </w:r>
      <w:r w:rsidRPr="00472B68">
        <w:rPr>
          <w:i/>
          <w:iCs/>
        </w:rPr>
        <w:t>Colonial Realty Co.</w:t>
      </w:r>
      <w:r w:rsidR="008B54D4" w:rsidRPr="005B05F9">
        <w:t>,</w:t>
      </w:r>
      <w:r w:rsidRPr="00472B68">
        <w:t xml:space="preserve"> </w:t>
      </w:r>
      <w:hyperlink r:id="rId21" w:history="1">
        <w:r w:rsidRPr="00472B68">
          <w:t>966 F.2d 57</w:t>
        </w:r>
        <w:r w:rsidR="008B54D4" w:rsidRPr="00472B68">
          <w:t>,</w:t>
        </w:r>
        <w:r w:rsidRPr="00472B68">
          <w:t xml:space="preserve"> 59</w:t>
        </w:r>
      </w:hyperlink>
      <w:r w:rsidRPr="00472B68">
        <w:t xml:space="preserve"> (2d </w:t>
      </w:r>
      <w:r w:rsidR="006E01F7" w:rsidRPr="00472B68">
        <w:t xml:space="preserve">Cir. </w:t>
      </w:r>
      <w:r w:rsidRPr="00472B68">
        <w:t>1992) (“105(a) limits the bankruptcy courts equitable</w:t>
      </w:r>
      <w:r w:rsidR="005B05F9">
        <w:t xml:space="preserve"> </w:t>
      </w:r>
      <w:r w:rsidRPr="00472B68">
        <w:t>powers</w:t>
      </w:r>
      <w:r w:rsidR="008B54D4" w:rsidRPr="00472B68">
        <w:t>,</w:t>
      </w:r>
      <w:r w:rsidRPr="00472B68">
        <w:t xml:space="preserve"> which </w:t>
      </w:r>
      <w:r w:rsidR="008B54D4" w:rsidRPr="00472B68">
        <w:t>‘</w:t>
      </w:r>
      <w:r w:rsidRPr="00472B68">
        <w:t xml:space="preserve">must and can only be exercised within the confines of the Bankruptcy Code”) (quoting </w:t>
      </w:r>
      <w:r w:rsidRPr="00472B68">
        <w:rPr>
          <w:i/>
          <w:iCs/>
        </w:rPr>
        <w:t>Norwest Bank</w:t>
      </w:r>
      <w:r w:rsidR="005B05F9">
        <w:rPr>
          <w:i/>
          <w:iCs/>
        </w:rPr>
        <w:t xml:space="preserve"> </w:t>
      </w:r>
      <w:r w:rsidRPr="00472B68">
        <w:rPr>
          <w:i/>
          <w:iCs/>
        </w:rPr>
        <w:t>Worthington</w:t>
      </w:r>
      <w:r w:rsidR="00E150C1" w:rsidRPr="00472B68">
        <w:rPr>
          <w:i/>
          <w:iCs/>
        </w:rPr>
        <w:t xml:space="preserve"> v. </w:t>
      </w:r>
      <w:r w:rsidRPr="00472B68">
        <w:rPr>
          <w:i/>
          <w:iCs/>
        </w:rPr>
        <w:t>Ahlers</w:t>
      </w:r>
      <w:r w:rsidR="008B54D4" w:rsidRPr="005B05F9">
        <w:t>,</w:t>
      </w:r>
      <w:r w:rsidRPr="00472B68">
        <w:t xml:space="preserve"> </w:t>
      </w:r>
      <w:hyperlink r:id="rId22" w:history="1">
        <w:r w:rsidRPr="00472B68">
          <w:t xml:space="preserve">485 </w:t>
        </w:r>
        <w:r w:rsidR="002F10FB" w:rsidRPr="00472B68">
          <w:t xml:space="preserve">U.S. </w:t>
        </w:r>
        <w:r w:rsidRPr="00472B68">
          <w:t>197</w:t>
        </w:r>
        <w:r w:rsidR="008B54D4" w:rsidRPr="00472B68">
          <w:t>,</w:t>
        </w:r>
        <w:r w:rsidRPr="00472B68">
          <w:t xml:space="preserve"> 206</w:t>
        </w:r>
      </w:hyperlink>
      <w:r w:rsidR="008B54D4" w:rsidRPr="00472B68">
        <w:t>,</w:t>
      </w:r>
      <w:r w:rsidRPr="00472B68">
        <w:t xml:space="preserve"> </w:t>
      </w:r>
      <w:hyperlink r:id="rId23" w:history="1">
        <w:r w:rsidRPr="00472B68">
          <w:t>(1988))</w:t>
        </w:r>
      </w:hyperlink>
      <w:r w:rsidRPr="00472B68">
        <w:t>.</w:t>
      </w:r>
    </w:p>
  </w:footnote>
  <w:footnote w:id="37">
    <w:p w14:paraId="29E8F41D" w14:textId="766C524B" w:rsidR="00A77BBD" w:rsidRPr="00472B68" w:rsidRDefault="00A77BBD" w:rsidP="009E353C">
      <w:pPr>
        <w:pStyle w:val="FootnoteText"/>
        <w:rPr>
          <w:szCs w:val="20"/>
        </w:rPr>
      </w:pPr>
      <w:r w:rsidRPr="005B0FDA">
        <w:rPr>
          <w:rStyle w:val="FootnoteReference"/>
          <w:sz w:val="18"/>
          <w:szCs w:val="18"/>
          <w:vertAlign w:val="superscript"/>
        </w:rPr>
        <w:footnoteRef/>
      </w:r>
      <w:r w:rsidR="006B40E3">
        <w:t xml:space="preserve"> </w:t>
      </w:r>
      <w:r w:rsidR="0012716D">
        <w:t xml:space="preserve">We </w:t>
      </w:r>
      <w:r w:rsidR="009E353C">
        <w:t>disagree with Appell</w:t>
      </w:r>
      <w:r w:rsidR="0012716D">
        <w:t>ees</w:t>
      </w:r>
      <w:r w:rsidR="009E353C">
        <w:t xml:space="preserve"> that </w:t>
      </w:r>
      <w:r w:rsidR="009E353C" w:rsidRPr="009E353C">
        <w:rPr>
          <w:i/>
          <w:iCs/>
        </w:rPr>
        <w:t>Metromedia</w:t>
      </w:r>
      <w:r w:rsidR="009E353C">
        <w:t>’s discussion of non-consenual third-party releases is dictum.  (</w:t>
      </w:r>
      <w:r w:rsidR="009E353C" w:rsidRPr="009E353C">
        <w:rPr>
          <w:i/>
          <w:iCs/>
        </w:rPr>
        <w:t>See id.</w:t>
      </w:r>
      <w:r w:rsidR="009E353C">
        <w:t xml:space="preserve">).  The actual holding in the case is that the bankruptcy court failed to make the findings in order to justify approval of </w:t>
      </w:r>
      <w:r w:rsidRPr="00472B68">
        <w:rPr>
          <w:rFonts w:eastAsia="Times New Roman" w:cs="Times New Roman"/>
          <w:color w:val="000000"/>
        </w:rPr>
        <w:t>such a release</w:t>
      </w:r>
      <w:r w:rsidR="006A227C" w:rsidRPr="00472B68">
        <w:rPr>
          <w:rFonts w:eastAsia="Times New Roman" w:cs="Times New Roman"/>
          <w:color w:val="000000"/>
        </w:rPr>
        <w:t xml:space="preserve">.  </w:t>
      </w:r>
      <w:r w:rsidRPr="00472B68">
        <w:rPr>
          <w:rFonts w:eastAsia="Times New Roman" w:cs="Times New Roman"/>
          <w:i/>
          <w:iCs/>
          <w:color w:val="000000"/>
        </w:rPr>
        <w:t>Metromedia</w:t>
      </w:r>
      <w:r w:rsidR="008B54D4" w:rsidRPr="00472B68">
        <w:rPr>
          <w:rFonts w:eastAsia="Times New Roman" w:cs="Times New Roman"/>
          <w:color w:val="000000"/>
        </w:rPr>
        <w:t>,</w:t>
      </w:r>
      <w:r w:rsidRPr="00472B68">
        <w:rPr>
          <w:rFonts w:eastAsia="Times New Roman" w:cs="Times New Roman"/>
          <w:color w:val="000000"/>
        </w:rPr>
        <w:t xml:space="preserve"> </w:t>
      </w:r>
      <w:hyperlink r:id="rId24" w:history="1">
        <w:r w:rsidRPr="00472B68">
          <w:rPr>
            <w:rFonts w:eastAsia="Times New Roman" w:cs="Times New Roman"/>
            <w:color w:val="000000"/>
          </w:rPr>
          <w:t>416 F.3d at 143</w:t>
        </w:r>
      </w:hyperlink>
      <w:r w:rsidR="006A227C" w:rsidRPr="00472B68">
        <w:rPr>
          <w:rFonts w:eastAsia="Times New Roman" w:cs="Times New Roman"/>
          <w:color w:val="000000"/>
        </w:rPr>
        <w:t xml:space="preserve">.  </w:t>
      </w:r>
      <w:r w:rsidRPr="00472B68">
        <w:rPr>
          <w:rFonts w:eastAsia="Times New Roman" w:cs="Times New Roman"/>
          <w:color w:val="000000"/>
        </w:rPr>
        <w:t>A discussion of what type of findings would be necessary to approve a non-consensual third-party release was</w:t>
      </w:r>
      <w:r w:rsidR="008B54D4" w:rsidRPr="00472B68">
        <w:rPr>
          <w:rFonts w:eastAsia="Times New Roman" w:cs="Times New Roman"/>
          <w:color w:val="000000"/>
        </w:rPr>
        <w:t>,</w:t>
      </w:r>
      <w:r w:rsidRPr="00472B68">
        <w:rPr>
          <w:rFonts w:eastAsia="Times New Roman" w:cs="Times New Roman"/>
          <w:color w:val="000000"/>
        </w:rPr>
        <w:t xml:space="preserve"> at least arguably</w:t>
      </w:r>
      <w:r w:rsidR="008B54D4" w:rsidRPr="00472B68">
        <w:rPr>
          <w:rFonts w:eastAsia="Times New Roman" w:cs="Times New Roman"/>
          <w:color w:val="000000"/>
        </w:rPr>
        <w:t>,</w:t>
      </w:r>
      <w:r w:rsidRPr="00472B68">
        <w:rPr>
          <w:rFonts w:eastAsia="Times New Roman" w:cs="Times New Roman"/>
          <w:color w:val="000000"/>
        </w:rPr>
        <w:t xml:space="preserve"> a necessary predicate to that holding</w:t>
      </w:r>
      <w:r w:rsidR="006A227C" w:rsidRPr="00472B68">
        <w:rPr>
          <w:rFonts w:eastAsia="Times New Roman" w:cs="Times New Roman"/>
          <w:color w:val="000000"/>
        </w:rPr>
        <w:t xml:space="preserve">.  </w:t>
      </w:r>
      <w:r w:rsidRPr="00472B68">
        <w:rPr>
          <w:rFonts w:eastAsia="Times New Roman" w:cs="Times New Roman"/>
          <w:color w:val="000000"/>
        </w:rPr>
        <w:t xml:space="preserve">The </w:t>
      </w:r>
      <w:r w:rsidR="0012716D">
        <w:rPr>
          <w:rFonts w:eastAsia="Times New Roman" w:cs="Times New Roman"/>
          <w:i/>
          <w:iCs/>
          <w:color w:val="000000"/>
        </w:rPr>
        <w:t xml:space="preserve">Metromedia </w:t>
      </w:r>
      <w:r w:rsidRPr="00472B68">
        <w:rPr>
          <w:rFonts w:eastAsia="Times New Roman" w:cs="Times New Roman"/>
          <w:color w:val="000000"/>
        </w:rPr>
        <w:t>court</w:t>
      </w:r>
      <w:r w:rsidR="008B54D4" w:rsidRPr="00472B68">
        <w:rPr>
          <w:rFonts w:eastAsia="Times New Roman" w:cs="Times New Roman"/>
          <w:color w:val="000000"/>
        </w:rPr>
        <w:t>’</w:t>
      </w:r>
      <w:r w:rsidRPr="00472B68">
        <w:rPr>
          <w:rFonts w:eastAsia="Times New Roman" w:cs="Times New Roman"/>
          <w:color w:val="000000"/>
        </w:rPr>
        <w:t>s equitable</w:t>
      </w:r>
      <w:r w:rsidR="009E353C">
        <w:rPr>
          <w:rFonts w:eastAsia="Times New Roman" w:cs="Times New Roman"/>
          <w:color w:val="000000"/>
        </w:rPr>
        <w:t xml:space="preserve"> </w:t>
      </w:r>
      <w:r w:rsidRPr="00472B68">
        <w:rPr>
          <w:rFonts w:eastAsia="Times New Roman" w:cs="Times New Roman"/>
          <w:color w:val="000000"/>
          <w:szCs w:val="20"/>
        </w:rPr>
        <w:t>mootness ruling only justified the decision not to remand so that the missing findings could be made</w:t>
      </w:r>
      <w:r w:rsidR="006A227C" w:rsidRPr="00472B68">
        <w:rPr>
          <w:rFonts w:eastAsia="Times New Roman" w:cs="Times New Roman"/>
          <w:color w:val="000000"/>
          <w:szCs w:val="20"/>
        </w:rPr>
        <w:t xml:space="preserve">.  </w:t>
      </w:r>
      <w:r w:rsidR="0012716D">
        <w:rPr>
          <w:rFonts w:eastAsia="Times New Roman" w:cs="Times New Roman"/>
          <w:color w:val="000000"/>
          <w:szCs w:val="20"/>
        </w:rPr>
        <w:t>We</w:t>
      </w:r>
      <w:r w:rsidRPr="00472B68">
        <w:rPr>
          <w:rFonts w:eastAsia="Times New Roman" w:cs="Times New Roman"/>
          <w:color w:val="000000"/>
          <w:szCs w:val="20"/>
        </w:rPr>
        <w:t xml:space="preserve"> did not vacate approval of the releases on equitable mootness grounds</w:t>
      </w:r>
      <w:r w:rsidR="008B54D4" w:rsidRPr="00472B68">
        <w:rPr>
          <w:rFonts w:eastAsia="Times New Roman" w:cs="Times New Roman"/>
          <w:color w:val="000000"/>
          <w:szCs w:val="20"/>
        </w:rPr>
        <w:t>,</w:t>
      </w:r>
      <w:r w:rsidRPr="00472B68">
        <w:rPr>
          <w:rFonts w:eastAsia="Times New Roman" w:cs="Times New Roman"/>
          <w:color w:val="000000"/>
          <w:szCs w:val="20"/>
        </w:rPr>
        <w:t xml:space="preserve"> so it was not the actual holding in the case.</w:t>
      </w:r>
    </w:p>
  </w:footnote>
  <w:footnote w:id="38">
    <w:p w14:paraId="6A203D18" w14:textId="145B34C6" w:rsidR="00A77BBD" w:rsidRPr="00472B68" w:rsidRDefault="00A77BBD" w:rsidP="009E353C">
      <w:pPr>
        <w:pStyle w:val="FootnoteText"/>
        <w:rPr>
          <w:szCs w:val="20"/>
        </w:rPr>
      </w:pPr>
      <w:r w:rsidRPr="00472B68">
        <w:rPr>
          <w:rStyle w:val="FootnoteReference"/>
          <w:rFonts w:eastAsia="Times New Roman" w:cs="Times New Roman"/>
          <w:color w:val="000000"/>
          <w:szCs w:val="20"/>
          <w:vertAlign w:val="superscript"/>
        </w:rPr>
        <w:footnoteRef/>
      </w:r>
      <w:r w:rsidR="009E353C">
        <w:t xml:space="preserve"> </w:t>
      </w:r>
      <w:r w:rsidRPr="00472B68">
        <w:t xml:space="preserve">Further to the discussion of </w:t>
      </w:r>
      <w:r w:rsidRPr="00472B68">
        <w:rPr>
          <w:i/>
          <w:iCs/>
        </w:rPr>
        <w:t>Drexel</w:t>
      </w:r>
      <w:r w:rsidRPr="00472B68">
        <w:t xml:space="preserve"> - the case was cited by </w:t>
      </w:r>
      <w:r w:rsidR="0012716D">
        <w:t>us</w:t>
      </w:r>
      <w:r w:rsidRPr="00472B68">
        <w:t xml:space="preserve"> in </w:t>
      </w:r>
      <w:r w:rsidRPr="00472B68">
        <w:rPr>
          <w:i/>
          <w:iCs/>
        </w:rPr>
        <w:t>Metromedia</w:t>
      </w:r>
      <w:r w:rsidR="008B54D4" w:rsidRPr="00472B68">
        <w:t>,</w:t>
      </w:r>
      <w:r w:rsidRPr="00472B68">
        <w:t xml:space="preserve"> but only for the proposition that a contribution to a debtor</w:t>
      </w:r>
      <w:r w:rsidR="008B54D4" w:rsidRPr="00472B68">
        <w:t>’</w:t>
      </w:r>
      <w:r w:rsidRPr="00472B68">
        <w:t>s estate from a released third party was one factor that had in the past been</w:t>
      </w:r>
      <w:r w:rsidR="009E353C">
        <w:t xml:space="preserve"> </w:t>
      </w:r>
      <w:r w:rsidRPr="00472B68">
        <w:rPr>
          <w:rFonts w:eastAsia="Times New Roman" w:cs="Times New Roman"/>
          <w:color w:val="000000"/>
          <w:szCs w:val="20"/>
        </w:rPr>
        <w:t>relied on by a court to justify a non-debtor release</w:t>
      </w:r>
      <w:r w:rsidR="006A227C" w:rsidRPr="00472B68">
        <w:rPr>
          <w:rFonts w:eastAsia="Times New Roman" w:cs="Times New Roman"/>
          <w:color w:val="000000"/>
          <w:szCs w:val="20"/>
        </w:rPr>
        <w:t xml:space="preserve">.  </w:t>
      </w:r>
    </w:p>
  </w:footnote>
  <w:footnote w:id="39">
    <w:p w14:paraId="71D4A838" w14:textId="4372FC28" w:rsidR="00A77BBD" w:rsidRPr="00472B68" w:rsidRDefault="00A77BBD" w:rsidP="009E353C">
      <w:pPr>
        <w:pStyle w:val="FootnoteText"/>
        <w:rPr>
          <w:szCs w:val="20"/>
        </w:rPr>
      </w:pPr>
      <w:r w:rsidRPr="00472B68">
        <w:rPr>
          <w:rStyle w:val="FootnoteReference"/>
          <w:rFonts w:eastAsia="Times New Roman" w:cs="Times New Roman"/>
          <w:color w:val="000000"/>
          <w:szCs w:val="20"/>
          <w:vertAlign w:val="superscript"/>
        </w:rPr>
        <w:footnoteRef/>
      </w:r>
      <w:r w:rsidR="009E353C">
        <w:rPr>
          <w:rFonts w:eastAsia="Times New Roman" w:cs="Times New Roman"/>
          <w:color w:val="000000"/>
          <w:szCs w:val="20"/>
        </w:rPr>
        <w:t xml:space="preserve"> </w:t>
      </w:r>
      <w:r w:rsidRPr="00472B68">
        <w:rPr>
          <w:rFonts w:eastAsia="Times New Roman" w:cs="Times New Roman"/>
          <w:i/>
          <w:iCs/>
          <w:color w:val="000000"/>
          <w:szCs w:val="20"/>
        </w:rPr>
        <w:t>Manville III</w:t>
      </w:r>
      <w:r w:rsidR="008B54D4" w:rsidRPr="00472B68">
        <w:rPr>
          <w:rFonts w:eastAsia="Times New Roman" w:cs="Times New Roman"/>
          <w:color w:val="000000"/>
          <w:szCs w:val="20"/>
        </w:rPr>
        <w:t>,</w:t>
      </w:r>
      <w:r w:rsidRPr="00472B68">
        <w:rPr>
          <w:rFonts w:eastAsia="Times New Roman" w:cs="Times New Roman"/>
          <w:color w:val="000000"/>
          <w:szCs w:val="20"/>
        </w:rPr>
        <w:t xml:space="preserve"> </w:t>
      </w:r>
      <w:hyperlink r:id="rId25" w:history="1">
        <w:r w:rsidRPr="00472B68">
          <w:rPr>
            <w:rFonts w:eastAsia="Times New Roman" w:cs="Times New Roman"/>
            <w:color w:val="000000"/>
            <w:szCs w:val="20"/>
          </w:rPr>
          <w:t>517 F.3d at 66</w:t>
        </w:r>
      </w:hyperlink>
      <w:r w:rsidRPr="00472B68">
        <w:rPr>
          <w:rFonts w:eastAsia="Times New Roman" w:cs="Times New Roman"/>
          <w:color w:val="000000"/>
          <w:szCs w:val="20"/>
        </w:rPr>
        <w:t xml:space="preserve">; </w:t>
      </w:r>
      <w:r w:rsidRPr="00472B68">
        <w:rPr>
          <w:rFonts w:eastAsia="Times New Roman" w:cs="Times New Roman"/>
          <w:i/>
          <w:iCs/>
          <w:color w:val="000000"/>
          <w:szCs w:val="20"/>
        </w:rPr>
        <w:t>Manville IV</w:t>
      </w:r>
      <w:r w:rsidR="008B54D4" w:rsidRPr="00472B68">
        <w:rPr>
          <w:rFonts w:eastAsia="Times New Roman" w:cs="Times New Roman"/>
          <w:color w:val="000000"/>
          <w:szCs w:val="20"/>
        </w:rPr>
        <w:t>,</w:t>
      </w:r>
      <w:r w:rsidRPr="00472B68">
        <w:rPr>
          <w:rFonts w:eastAsia="Times New Roman" w:cs="Times New Roman"/>
          <w:color w:val="000000"/>
          <w:szCs w:val="20"/>
        </w:rPr>
        <w:t xml:space="preserve"> </w:t>
      </w:r>
      <w:hyperlink r:id="rId26" w:history="1">
        <w:r w:rsidRPr="00472B68">
          <w:rPr>
            <w:rFonts w:eastAsia="Times New Roman" w:cs="Times New Roman"/>
            <w:color w:val="000000"/>
            <w:szCs w:val="20"/>
          </w:rPr>
          <w:t>600</w:t>
        </w:r>
        <w:r w:rsidR="006E01F7" w:rsidRPr="00472B68">
          <w:rPr>
            <w:rFonts w:eastAsia="Times New Roman" w:cs="Times New Roman"/>
            <w:color w:val="000000"/>
            <w:szCs w:val="20"/>
          </w:rPr>
          <w:t xml:space="preserve"> F. </w:t>
        </w:r>
        <w:r w:rsidRPr="00472B68">
          <w:rPr>
            <w:rFonts w:eastAsia="Times New Roman" w:cs="Times New Roman"/>
            <w:color w:val="000000"/>
            <w:szCs w:val="20"/>
          </w:rPr>
          <w:t>3d at 152</w:t>
        </w:r>
      </w:hyperlink>
      <w:r w:rsidRPr="00472B68">
        <w:rPr>
          <w:rFonts w:eastAsia="Times New Roman" w:cs="Times New Roman"/>
          <w:color w:val="000000"/>
          <w:szCs w:val="20"/>
        </w:rPr>
        <w:t xml:space="preserve">; </w:t>
      </w:r>
      <w:r w:rsidRPr="00472B68">
        <w:rPr>
          <w:rFonts w:eastAsia="Times New Roman" w:cs="Times New Roman"/>
          <w:i/>
          <w:iCs/>
          <w:color w:val="000000"/>
          <w:szCs w:val="20"/>
        </w:rPr>
        <w:t>In re Quigley Co.</w:t>
      </w:r>
      <w:r w:rsidR="008B54D4" w:rsidRPr="00472B68">
        <w:rPr>
          <w:rFonts w:eastAsia="Times New Roman" w:cs="Times New Roman"/>
          <w:color w:val="000000"/>
          <w:szCs w:val="20"/>
        </w:rPr>
        <w:t>,</w:t>
      </w:r>
      <w:r w:rsidRPr="00472B68">
        <w:rPr>
          <w:rFonts w:eastAsia="Times New Roman" w:cs="Times New Roman"/>
          <w:color w:val="000000"/>
          <w:szCs w:val="20"/>
        </w:rPr>
        <w:t xml:space="preserve"> </w:t>
      </w:r>
      <w:hyperlink r:id="rId27" w:history="1">
        <w:r w:rsidRPr="00472B68">
          <w:rPr>
            <w:rFonts w:eastAsia="Times New Roman" w:cs="Times New Roman"/>
            <w:color w:val="000000"/>
            <w:szCs w:val="20"/>
          </w:rPr>
          <w:t>676 F.3d 45</w:t>
        </w:r>
      </w:hyperlink>
      <w:r w:rsidRPr="00472B68">
        <w:rPr>
          <w:rFonts w:eastAsia="Times New Roman" w:cs="Times New Roman"/>
          <w:color w:val="000000"/>
          <w:szCs w:val="20"/>
        </w:rPr>
        <w:t xml:space="preserve"> (2d </w:t>
      </w:r>
      <w:r w:rsidR="006E01F7" w:rsidRPr="00472B68">
        <w:rPr>
          <w:rFonts w:eastAsia="Times New Roman" w:cs="Times New Roman"/>
          <w:color w:val="000000"/>
          <w:szCs w:val="20"/>
        </w:rPr>
        <w:t xml:space="preserve">Cir. </w:t>
      </w:r>
      <w:r w:rsidRPr="00472B68">
        <w:rPr>
          <w:rFonts w:eastAsia="Times New Roman" w:cs="Times New Roman"/>
          <w:color w:val="000000"/>
          <w:szCs w:val="20"/>
        </w:rPr>
        <w:t>2012).</w:t>
      </w:r>
    </w:p>
  </w:footnote>
  <w:footnote w:id="40">
    <w:p w14:paraId="064658C5" w14:textId="642F31F7" w:rsidR="00A77BBD" w:rsidRPr="00472B68" w:rsidRDefault="00A77BBD" w:rsidP="00AC00F7">
      <w:pPr>
        <w:pStyle w:val="FootnoteText"/>
      </w:pPr>
      <w:r w:rsidRPr="00472B68">
        <w:rPr>
          <w:rStyle w:val="FootnoteReference"/>
          <w:rFonts w:eastAsia="Times New Roman" w:cs="Times New Roman"/>
          <w:color w:val="000000"/>
          <w:szCs w:val="20"/>
          <w:vertAlign w:val="superscript"/>
        </w:rPr>
        <w:footnoteRef/>
      </w:r>
      <w:r w:rsidR="00AC00F7">
        <w:t xml:space="preserve"> </w:t>
      </w:r>
      <w:r w:rsidRPr="00472B68">
        <w:t xml:space="preserve">The phrase “residual authority” </w:t>
      </w:r>
      <w:r w:rsidR="003E441B">
        <w:t xml:space="preserve">derives </w:t>
      </w:r>
      <w:r w:rsidRPr="00472B68">
        <w:t xml:space="preserve">from </w:t>
      </w:r>
      <w:r w:rsidRPr="00472B68">
        <w:rPr>
          <w:i/>
          <w:iCs/>
        </w:rPr>
        <w:t>United States</w:t>
      </w:r>
      <w:r w:rsidR="00E150C1" w:rsidRPr="00472B68">
        <w:rPr>
          <w:i/>
          <w:iCs/>
        </w:rPr>
        <w:t xml:space="preserve"> v. </w:t>
      </w:r>
      <w:r w:rsidRPr="00472B68">
        <w:rPr>
          <w:i/>
          <w:iCs/>
        </w:rPr>
        <w:t>Energy Res</w:t>
      </w:r>
      <w:r w:rsidR="006A227C" w:rsidRPr="00472B68">
        <w:rPr>
          <w:i/>
          <w:iCs/>
        </w:rPr>
        <w:t xml:space="preserve">. </w:t>
      </w:r>
      <w:r w:rsidRPr="00472B68">
        <w:rPr>
          <w:i/>
          <w:iCs/>
        </w:rPr>
        <w:t>Co</w:t>
      </w:r>
      <w:r w:rsidRPr="00472B68">
        <w:t>.</w:t>
      </w:r>
      <w:r w:rsidR="008B54D4" w:rsidRPr="00472B68">
        <w:t>,</w:t>
      </w:r>
      <w:r w:rsidRPr="00472B68">
        <w:t xml:space="preserve"> </w:t>
      </w:r>
      <w:hyperlink r:id="rId28" w:history="1">
        <w:r w:rsidRPr="00472B68">
          <w:t xml:space="preserve">495 </w:t>
        </w:r>
        <w:r w:rsidR="002F10FB" w:rsidRPr="00472B68">
          <w:t xml:space="preserve">U.S. </w:t>
        </w:r>
        <w:r w:rsidRPr="00472B68">
          <w:t>545</w:t>
        </w:r>
        <w:r w:rsidR="008B54D4" w:rsidRPr="00472B68">
          <w:t>,</w:t>
        </w:r>
        <w:r w:rsidRPr="00472B68">
          <w:t xml:space="preserve"> 549</w:t>
        </w:r>
      </w:hyperlink>
      <w:r w:rsidRPr="00472B68">
        <w:t xml:space="preserve"> (1990)</w:t>
      </w:r>
      <w:r w:rsidR="008B54D4" w:rsidRPr="00472B68">
        <w:t>,</w:t>
      </w:r>
      <w:r w:rsidRPr="00472B68">
        <w:t xml:space="preserve"> which </w:t>
      </w:r>
      <w:r w:rsidR="003E441B">
        <w:t>we</w:t>
      </w:r>
      <w:r w:rsidRPr="00472B68">
        <w:t xml:space="preserve"> discuss in detail below.</w:t>
      </w:r>
    </w:p>
  </w:footnote>
  <w:footnote w:id="41">
    <w:p w14:paraId="53C82ABF" w14:textId="37470FD7" w:rsidR="00A77BBD" w:rsidRPr="00472B68" w:rsidRDefault="00A77BBD" w:rsidP="00581AE0">
      <w:pPr>
        <w:pStyle w:val="FootnoteText"/>
        <w:rPr>
          <w:szCs w:val="20"/>
        </w:rPr>
      </w:pPr>
      <w:r w:rsidRPr="00472B68">
        <w:rPr>
          <w:rStyle w:val="FootnoteReference"/>
          <w:rFonts w:eastAsia="Times New Roman" w:cs="Times New Roman"/>
          <w:color w:val="000000"/>
          <w:szCs w:val="20"/>
          <w:vertAlign w:val="superscript"/>
        </w:rPr>
        <w:footnoteRef/>
      </w:r>
      <w:r w:rsidR="00581AE0">
        <w:rPr>
          <w:rFonts w:eastAsia="Times New Roman" w:cs="Times New Roman"/>
          <w:color w:val="000000"/>
          <w:szCs w:val="20"/>
        </w:rPr>
        <w:t xml:space="preserve"> </w:t>
      </w:r>
      <w:hyperlink r:id="rId29" w:history="1">
        <w:r w:rsidRPr="00472B68">
          <w:rPr>
            <w:rFonts w:eastAsia="Times New Roman" w:cs="Times New Roman"/>
            <w:color w:val="000000"/>
            <w:szCs w:val="20"/>
          </w:rPr>
          <w:t xml:space="preserve">11 </w:t>
        </w:r>
        <w:r w:rsidR="002F10FB" w:rsidRPr="00472B68">
          <w:rPr>
            <w:rFonts w:eastAsia="Times New Roman" w:cs="Times New Roman"/>
            <w:color w:val="000000"/>
            <w:szCs w:val="20"/>
          </w:rPr>
          <w:t xml:space="preserve">U.S.C. </w:t>
        </w:r>
        <w:r w:rsidRPr="00472B68">
          <w:rPr>
            <w:rFonts w:eastAsia="Times New Roman" w:cs="Times New Roman"/>
            <w:color w:val="000000"/>
            <w:szCs w:val="20"/>
          </w:rPr>
          <w:t>§§ 507(a)(7)</w:t>
        </w:r>
      </w:hyperlink>
      <w:r w:rsidR="008B54D4" w:rsidRPr="00472B68">
        <w:rPr>
          <w:rFonts w:eastAsia="Times New Roman" w:cs="Times New Roman"/>
          <w:color w:val="000000"/>
          <w:szCs w:val="20"/>
        </w:rPr>
        <w:t>,</w:t>
      </w:r>
      <w:r w:rsidRPr="00472B68">
        <w:rPr>
          <w:rFonts w:eastAsia="Times New Roman" w:cs="Times New Roman"/>
          <w:color w:val="000000"/>
          <w:szCs w:val="20"/>
        </w:rPr>
        <w:t xml:space="preserve"> </w:t>
      </w:r>
      <w:hyperlink r:id="rId30" w:history="1">
        <w:r w:rsidRPr="00472B68">
          <w:rPr>
            <w:rFonts w:eastAsia="Times New Roman" w:cs="Times New Roman"/>
            <w:color w:val="000000"/>
            <w:szCs w:val="20"/>
          </w:rPr>
          <w:t>523(a)(1)(A)</w:t>
        </w:r>
      </w:hyperlink>
      <w:r w:rsidRPr="00472B68">
        <w:rPr>
          <w:rFonts w:eastAsia="Times New Roman" w:cs="Times New Roman"/>
          <w:color w:val="000000"/>
          <w:szCs w:val="20"/>
        </w:rPr>
        <w:t>.</w:t>
      </w:r>
    </w:p>
  </w:footnote>
  <w:footnote w:id="42">
    <w:p w14:paraId="411CCF88" w14:textId="398F429A" w:rsidR="00A77BBD" w:rsidRPr="00472B68" w:rsidRDefault="00A77BBD" w:rsidP="00581AE0">
      <w:pPr>
        <w:pStyle w:val="FootnoteText"/>
        <w:rPr>
          <w:szCs w:val="20"/>
        </w:rPr>
      </w:pPr>
      <w:r w:rsidRPr="00472B68">
        <w:rPr>
          <w:rStyle w:val="FootnoteReference"/>
          <w:rFonts w:eastAsia="Times New Roman" w:cs="Times New Roman"/>
          <w:color w:val="000000"/>
          <w:szCs w:val="20"/>
          <w:vertAlign w:val="superscript"/>
        </w:rPr>
        <w:footnoteRef/>
      </w:r>
      <w:r w:rsidR="00581AE0">
        <w:rPr>
          <w:rFonts w:eastAsia="Times New Roman" w:cs="Times New Roman"/>
          <w:color w:val="000000"/>
          <w:szCs w:val="20"/>
        </w:rPr>
        <w:t xml:space="preserve"> </w:t>
      </w:r>
      <w:hyperlink r:id="rId31" w:history="1">
        <w:r w:rsidRPr="00472B68">
          <w:rPr>
            <w:rFonts w:eastAsia="Times New Roman" w:cs="Times New Roman"/>
            <w:color w:val="000000"/>
            <w:szCs w:val="20"/>
          </w:rPr>
          <w:t xml:space="preserve">11 </w:t>
        </w:r>
        <w:r w:rsidR="002F10FB" w:rsidRPr="00472B68">
          <w:rPr>
            <w:rFonts w:eastAsia="Times New Roman" w:cs="Times New Roman"/>
            <w:color w:val="000000"/>
            <w:szCs w:val="20"/>
          </w:rPr>
          <w:t xml:space="preserve">U.S.C. </w:t>
        </w:r>
        <w:r w:rsidRPr="00472B68">
          <w:rPr>
            <w:rFonts w:eastAsia="Times New Roman" w:cs="Times New Roman"/>
            <w:color w:val="000000"/>
            <w:szCs w:val="20"/>
          </w:rPr>
          <w:t>§ 1129(a)(9)(C)</w:t>
        </w:r>
      </w:hyperlink>
      <w:r w:rsidRPr="00472B68">
        <w:rPr>
          <w:rFonts w:eastAsia="Times New Roman" w:cs="Times New Roman"/>
          <w:color w:val="00000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17C0C" w14:textId="77777777" w:rsidR="00A77BBD" w:rsidRDefault="00A77BBD">
    <w:pPr>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DAC5" w14:textId="77777777" w:rsidR="00A77BBD" w:rsidRDefault="00A77BBD">
    <w:pPr>
      <w:tabs>
        <w:tab w:val="center" w:pos="4680"/>
        <w:tab w:val="right" w:pos="936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87D7" w14:textId="77777777" w:rsidR="00A77BBD" w:rsidRDefault="00A77BBD">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D2B8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AC4689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FF628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3FE8E4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228E5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0220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BDE96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56C08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160F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AC5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7890648"/>
    <w:multiLevelType w:val="multilevel"/>
    <w:tmpl w:val="0E6A5872"/>
    <w:name w:val="Heading"/>
    <w:lvl w:ilvl="0">
      <w:start w:val="1"/>
      <w:numFmt w:val="none"/>
      <w:pStyle w:val="Heading1"/>
      <w:suff w:val="nothing"/>
      <w:lvlText w:val=""/>
      <w:lvlJc w:val="left"/>
      <w:pPr>
        <w:ind w:left="0" w:firstLine="0"/>
      </w:pPr>
      <w:rPr>
        <w:strike w:val="0"/>
        <w:dstrike w:val="0"/>
      </w:rPr>
    </w:lvl>
    <w:lvl w:ilvl="1">
      <w:start w:val="1"/>
      <w:numFmt w:val="upperRoman"/>
      <w:pStyle w:val="Heading2"/>
      <w:lvlText w:val="%2."/>
      <w:lvlJc w:val="left"/>
      <w:pPr>
        <w:ind w:left="720" w:hanging="720"/>
      </w:pPr>
      <w:rPr>
        <w:strike w:val="0"/>
        <w:dstrike w:val="0"/>
      </w:rPr>
    </w:lvl>
    <w:lvl w:ilvl="2">
      <w:start w:val="1"/>
      <w:numFmt w:val="upperLetter"/>
      <w:pStyle w:val="Heading3"/>
      <w:lvlText w:val="%3."/>
      <w:lvlJc w:val="left"/>
      <w:pPr>
        <w:ind w:left="1440" w:hanging="720"/>
      </w:pPr>
      <w:rPr>
        <w:strike w:val="0"/>
        <w:dstrike w:val="0"/>
      </w:rPr>
    </w:lvl>
    <w:lvl w:ilvl="3">
      <w:start w:val="1"/>
      <w:numFmt w:val="decimal"/>
      <w:pStyle w:val="Heading4"/>
      <w:lvlText w:val="%4."/>
      <w:lvlJc w:val="left"/>
      <w:pPr>
        <w:ind w:left="2160" w:hanging="720"/>
      </w:pPr>
      <w:rPr>
        <w:strike w:val="0"/>
        <w:dstrike w:val="0"/>
      </w:rPr>
    </w:lvl>
    <w:lvl w:ilvl="4">
      <w:start w:val="1"/>
      <w:numFmt w:val="none"/>
      <w:pStyle w:val="Heading5"/>
      <w:suff w:val="nothing"/>
      <w:lvlText w:val=""/>
      <w:lvlJc w:val="left"/>
      <w:pPr>
        <w:ind w:left="0" w:firstLine="0"/>
      </w:pPr>
      <w:rPr>
        <w:strike w:val="0"/>
        <w:dstrike w:val="0"/>
      </w:rPr>
    </w:lvl>
    <w:lvl w:ilvl="5">
      <w:start w:val="1"/>
      <w:numFmt w:val="none"/>
      <w:pStyle w:val="Heading6"/>
      <w:suff w:val="nothing"/>
      <w:lvlText w:val=""/>
      <w:lvlJc w:val="left"/>
      <w:pPr>
        <w:ind w:left="0" w:firstLine="0"/>
      </w:pPr>
      <w:rPr>
        <w:strike w:val="0"/>
        <w:dstrike w:val="0"/>
      </w:rPr>
    </w:lvl>
    <w:lvl w:ilvl="6">
      <w:start w:val="1"/>
      <w:numFmt w:val="none"/>
      <w:pStyle w:val="Heading7"/>
      <w:suff w:val="nothing"/>
      <w:lvlText w:val=""/>
      <w:lvlJc w:val="left"/>
      <w:pPr>
        <w:ind w:left="0" w:firstLine="0"/>
      </w:pPr>
      <w:rPr>
        <w:strike w:val="0"/>
        <w:dstrike w:val="0"/>
      </w:rPr>
    </w:lvl>
    <w:lvl w:ilvl="7">
      <w:start w:val="1"/>
      <w:numFmt w:val="none"/>
      <w:pStyle w:val="Heading8"/>
      <w:suff w:val="nothing"/>
      <w:lvlText w:val=""/>
      <w:lvlJc w:val="left"/>
      <w:pPr>
        <w:ind w:left="0" w:firstLine="0"/>
      </w:pPr>
      <w:rPr>
        <w:strike w:val="0"/>
        <w:dstrike w:val="0"/>
      </w:rPr>
    </w:lvl>
    <w:lvl w:ilvl="8">
      <w:start w:val="1"/>
      <w:numFmt w:val="none"/>
      <w:pStyle w:val="Heading9"/>
      <w:suff w:val="nothing"/>
      <w:lvlText w:val=""/>
      <w:lvlJc w:val="left"/>
      <w:pPr>
        <w:ind w:left="0" w:firstLine="0"/>
      </w:pPr>
      <w:rPr>
        <w:strike w:val="0"/>
        <w:dstrike w:val="0"/>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ms, Jordan L.">
    <w15:presenceInfo w15:providerId="AD" w15:userId="S::Jordan.Williams@blankrome.com::f992857e-2b38-4ea8-ae69-5873c40ee2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SWActiveDesign" w:val="Heading"/>
    <w:docVar w:name="SWAllDesigns" w:val="Heading|"/>
    <w:docVar w:name="SWAllLineBreaks" w:val="Heading~~0|0|0|0|0|0|0|0|0|@@"/>
    <w:docVar w:name="SWDocIDLayout" w:val="62"/>
    <w:docVar w:name="SWDocIDLocation" w:val="1"/>
  </w:docVars>
  <w:rsids>
    <w:rsidRoot w:val="00A77BBD"/>
    <w:rsid w:val="000004B0"/>
    <w:rsid w:val="0000304C"/>
    <w:rsid w:val="00004D54"/>
    <w:rsid w:val="0000767A"/>
    <w:rsid w:val="00013BBA"/>
    <w:rsid w:val="0001655A"/>
    <w:rsid w:val="0005635E"/>
    <w:rsid w:val="00056A06"/>
    <w:rsid w:val="0005772E"/>
    <w:rsid w:val="000B6024"/>
    <w:rsid w:val="000C2606"/>
    <w:rsid w:val="000D3228"/>
    <w:rsid w:val="000D79A1"/>
    <w:rsid w:val="000E09FD"/>
    <w:rsid w:val="000E5D9F"/>
    <w:rsid w:val="000F05D9"/>
    <w:rsid w:val="000F32DE"/>
    <w:rsid w:val="000F632A"/>
    <w:rsid w:val="00110F91"/>
    <w:rsid w:val="0012716D"/>
    <w:rsid w:val="0019610F"/>
    <w:rsid w:val="001B4668"/>
    <w:rsid w:val="001D0B25"/>
    <w:rsid w:val="001D3B34"/>
    <w:rsid w:val="001D46C1"/>
    <w:rsid w:val="001D76B8"/>
    <w:rsid w:val="002043FB"/>
    <w:rsid w:val="00216346"/>
    <w:rsid w:val="00234033"/>
    <w:rsid w:val="0024779E"/>
    <w:rsid w:val="00251EF3"/>
    <w:rsid w:val="00270A30"/>
    <w:rsid w:val="002924D9"/>
    <w:rsid w:val="002A2716"/>
    <w:rsid w:val="002A28E6"/>
    <w:rsid w:val="002C1561"/>
    <w:rsid w:val="002C31ED"/>
    <w:rsid w:val="002E3DAF"/>
    <w:rsid w:val="002F10FB"/>
    <w:rsid w:val="002F4854"/>
    <w:rsid w:val="003339B5"/>
    <w:rsid w:val="003521FD"/>
    <w:rsid w:val="00354078"/>
    <w:rsid w:val="0039022A"/>
    <w:rsid w:val="003A0BCA"/>
    <w:rsid w:val="003A3B70"/>
    <w:rsid w:val="003B7D4B"/>
    <w:rsid w:val="003E441B"/>
    <w:rsid w:val="003E7DC0"/>
    <w:rsid w:val="003F38E7"/>
    <w:rsid w:val="00405495"/>
    <w:rsid w:val="00413C29"/>
    <w:rsid w:val="004142C8"/>
    <w:rsid w:val="00417667"/>
    <w:rsid w:val="004210CE"/>
    <w:rsid w:val="00426167"/>
    <w:rsid w:val="00431A6E"/>
    <w:rsid w:val="00472B68"/>
    <w:rsid w:val="00473ECA"/>
    <w:rsid w:val="004A17EA"/>
    <w:rsid w:val="004F2BA9"/>
    <w:rsid w:val="005029BD"/>
    <w:rsid w:val="00521E79"/>
    <w:rsid w:val="005227D9"/>
    <w:rsid w:val="00522B24"/>
    <w:rsid w:val="00531209"/>
    <w:rsid w:val="005327BB"/>
    <w:rsid w:val="00556903"/>
    <w:rsid w:val="00561CFB"/>
    <w:rsid w:val="00581AE0"/>
    <w:rsid w:val="005A36A6"/>
    <w:rsid w:val="005A444A"/>
    <w:rsid w:val="005B05F9"/>
    <w:rsid w:val="005B0788"/>
    <w:rsid w:val="005B0FDA"/>
    <w:rsid w:val="005C3F70"/>
    <w:rsid w:val="005D6574"/>
    <w:rsid w:val="005E372F"/>
    <w:rsid w:val="00600794"/>
    <w:rsid w:val="00615C19"/>
    <w:rsid w:val="006239B5"/>
    <w:rsid w:val="00640A7D"/>
    <w:rsid w:val="00643208"/>
    <w:rsid w:val="00665A76"/>
    <w:rsid w:val="00672BE3"/>
    <w:rsid w:val="00683835"/>
    <w:rsid w:val="006A227C"/>
    <w:rsid w:val="006A780E"/>
    <w:rsid w:val="006B40E3"/>
    <w:rsid w:val="006B7515"/>
    <w:rsid w:val="006B7929"/>
    <w:rsid w:val="006E01F7"/>
    <w:rsid w:val="006E23EA"/>
    <w:rsid w:val="006E331E"/>
    <w:rsid w:val="006E3B83"/>
    <w:rsid w:val="006E61AB"/>
    <w:rsid w:val="0073548B"/>
    <w:rsid w:val="007362D6"/>
    <w:rsid w:val="00755A0D"/>
    <w:rsid w:val="007636A6"/>
    <w:rsid w:val="00777BAE"/>
    <w:rsid w:val="007C171F"/>
    <w:rsid w:val="007C6DC2"/>
    <w:rsid w:val="007E0307"/>
    <w:rsid w:val="008009B9"/>
    <w:rsid w:val="00807418"/>
    <w:rsid w:val="0081115E"/>
    <w:rsid w:val="00833A0C"/>
    <w:rsid w:val="008344B3"/>
    <w:rsid w:val="00852D98"/>
    <w:rsid w:val="00895C3C"/>
    <w:rsid w:val="008B54D4"/>
    <w:rsid w:val="008C275F"/>
    <w:rsid w:val="008C2EFB"/>
    <w:rsid w:val="008E21E5"/>
    <w:rsid w:val="008E3DD1"/>
    <w:rsid w:val="009108C3"/>
    <w:rsid w:val="00915FA7"/>
    <w:rsid w:val="00925F9D"/>
    <w:rsid w:val="00931C57"/>
    <w:rsid w:val="00964D23"/>
    <w:rsid w:val="009832D2"/>
    <w:rsid w:val="009A6D82"/>
    <w:rsid w:val="009B6652"/>
    <w:rsid w:val="009E353C"/>
    <w:rsid w:val="00A06306"/>
    <w:rsid w:val="00A11A82"/>
    <w:rsid w:val="00A1404C"/>
    <w:rsid w:val="00A75961"/>
    <w:rsid w:val="00A76A46"/>
    <w:rsid w:val="00A77BBD"/>
    <w:rsid w:val="00A864B6"/>
    <w:rsid w:val="00A91318"/>
    <w:rsid w:val="00A94A24"/>
    <w:rsid w:val="00A96467"/>
    <w:rsid w:val="00AA41C2"/>
    <w:rsid w:val="00AB5D25"/>
    <w:rsid w:val="00AC00F7"/>
    <w:rsid w:val="00B12AFF"/>
    <w:rsid w:val="00B32325"/>
    <w:rsid w:val="00B4420C"/>
    <w:rsid w:val="00B56FD7"/>
    <w:rsid w:val="00B57F95"/>
    <w:rsid w:val="00B747C6"/>
    <w:rsid w:val="00B95B81"/>
    <w:rsid w:val="00B9653E"/>
    <w:rsid w:val="00BA3AB2"/>
    <w:rsid w:val="00BC0729"/>
    <w:rsid w:val="00BC3D46"/>
    <w:rsid w:val="00BC48A8"/>
    <w:rsid w:val="00BF3CE0"/>
    <w:rsid w:val="00BF5C22"/>
    <w:rsid w:val="00BF5EEA"/>
    <w:rsid w:val="00C043F0"/>
    <w:rsid w:val="00C364FF"/>
    <w:rsid w:val="00C42EAD"/>
    <w:rsid w:val="00C547C6"/>
    <w:rsid w:val="00C54C67"/>
    <w:rsid w:val="00C63F21"/>
    <w:rsid w:val="00C740FC"/>
    <w:rsid w:val="00C7468B"/>
    <w:rsid w:val="00C83EE0"/>
    <w:rsid w:val="00C841A4"/>
    <w:rsid w:val="00CA3130"/>
    <w:rsid w:val="00CB68F4"/>
    <w:rsid w:val="00CC340C"/>
    <w:rsid w:val="00CC48AD"/>
    <w:rsid w:val="00CC4B2D"/>
    <w:rsid w:val="00CD0B39"/>
    <w:rsid w:val="00D16FD7"/>
    <w:rsid w:val="00D25E84"/>
    <w:rsid w:val="00D65960"/>
    <w:rsid w:val="00D850FE"/>
    <w:rsid w:val="00DA3035"/>
    <w:rsid w:val="00DC3AE7"/>
    <w:rsid w:val="00DE7588"/>
    <w:rsid w:val="00E150C1"/>
    <w:rsid w:val="00E21AF3"/>
    <w:rsid w:val="00E320CD"/>
    <w:rsid w:val="00E4309D"/>
    <w:rsid w:val="00E45B92"/>
    <w:rsid w:val="00E47395"/>
    <w:rsid w:val="00E61116"/>
    <w:rsid w:val="00E61C46"/>
    <w:rsid w:val="00E80635"/>
    <w:rsid w:val="00E82FD6"/>
    <w:rsid w:val="00E83A0F"/>
    <w:rsid w:val="00E97455"/>
    <w:rsid w:val="00E974BF"/>
    <w:rsid w:val="00EA0E81"/>
    <w:rsid w:val="00EA0FCC"/>
    <w:rsid w:val="00EB10C7"/>
    <w:rsid w:val="00EB576B"/>
    <w:rsid w:val="00EC0261"/>
    <w:rsid w:val="00EC5046"/>
    <w:rsid w:val="00ED27D1"/>
    <w:rsid w:val="00EE1410"/>
    <w:rsid w:val="00EE44CF"/>
    <w:rsid w:val="00F243CC"/>
    <w:rsid w:val="00F30478"/>
    <w:rsid w:val="00F544B7"/>
    <w:rsid w:val="00F547D7"/>
    <w:rsid w:val="00F646F5"/>
    <w:rsid w:val="00F67574"/>
    <w:rsid w:val="00F73A4F"/>
    <w:rsid w:val="00F9715F"/>
    <w:rsid w:val="00FA6BF9"/>
    <w:rsid w:val="00FA79C1"/>
    <w:rsid w:val="00FC3B71"/>
    <w:rsid w:val="00FD7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E3AAC"/>
  <w15:docId w15:val="{C8BEA5DD-2849-413E-BDE0-8F62BA4F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1D3B34"/>
    <w:rPr>
      <w:rFonts w:ascii="Times New Roman" w:hAnsi="Times New Roman"/>
      <w:sz w:val="24"/>
    </w:rPr>
  </w:style>
  <w:style w:type="paragraph" w:styleId="Heading1">
    <w:name w:val="heading 1"/>
    <w:basedOn w:val="Normal"/>
    <w:next w:val="BodyText"/>
    <w:link w:val="Heading1Char"/>
    <w:uiPriority w:val="1"/>
    <w:qFormat/>
    <w:rsid w:val="002E3DAF"/>
    <w:pPr>
      <w:keepNext/>
      <w:numPr>
        <w:numId w:val="1"/>
      </w:numPr>
      <w:spacing w:after="240" w:line="240" w:lineRule="auto"/>
      <w:jc w:val="center"/>
      <w:outlineLvl w:val="0"/>
    </w:pPr>
    <w:rPr>
      <w:rFonts w:eastAsiaTheme="majorEastAsia" w:cs="Times New Roman"/>
      <w:b/>
      <w:szCs w:val="32"/>
    </w:rPr>
  </w:style>
  <w:style w:type="paragraph" w:styleId="Heading2">
    <w:name w:val="heading 2"/>
    <w:basedOn w:val="Normal"/>
    <w:next w:val="BodyText"/>
    <w:link w:val="Heading2Char"/>
    <w:uiPriority w:val="1"/>
    <w:unhideWhenUsed/>
    <w:qFormat/>
    <w:rsid w:val="00EA0FCC"/>
    <w:pPr>
      <w:keepNext/>
      <w:numPr>
        <w:ilvl w:val="1"/>
        <w:numId w:val="1"/>
      </w:numPr>
      <w:spacing w:after="240" w:line="240" w:lineRule="auto"/>
      <w:outlineLvl w:val="1"/>
    </w:pPr>
    <w:rPr>
      <w:rFonts w:eastAsiaTheme="majorEastAsia" w:cs="Times New Roman"/>
      <w:b/>
      <w:szCs w:val="26"/>
    </w:rPr>
  </w:style>
  <w:style w:type="paragraph" w:styleId="Heading3">
    <w:name w:val="heading 3"/>
    <w:basedOn w:val="Normal"/>
    <w:next w:val="BodyText"/>
    <w:link w:val="Heading3Char"/>
    <w:uiPriority w:val="1"/>
    <w:unhideWhenUsed/>
    <w:qFormat/>
    <w:rsid w:val="00C364FF"/>
    <w:pPr>
      <w:keepNext/>
      <w:numPr>
        <w:ilvl w:val="2"/>
        <w:numId w:val="1"/>
      </w:numPr>
      <w:spacing w:after="240" w:line="240" w:lineRule="auto"/>
      <w:outlineLvl w:val="2"/>
    </w:pPr>
    <w:rPr>
      <w:rFonts w:eastAsiaTheme="majorEastAsia" w:cs="Times New Roman"/>
      <w:i/>
      <w:szCs w:val="24"/>
    </w:rPr>
  </w:style>
  <w:style w:type="paragraph" w:styleId="Heading4">
    <w:name w:val="heading 4"/>
    <w:basedOn w:val="Normal"/>
    <w:next w:val="BodyText"/>
    <w:link w:val="Heading4Char"/>
    <w:uiPriority w:val="1"/>
    <w:unhideWhenUsed/>
    <w:qFormat/>
    <w:rsid w:val="001D46C1"/>
    <w:pPr>
      <w:numPr>
        <w:ilvl w:val="3"/>
        <w:numId w:val="1"/>
      </w:numPr>
      <w:spacing w:after="240" w:line="240" w:lineRule="auto"/>
      <w:outlineLvl w:val="3"/>
    </w:pPr>
    <w:rPr>
      <w:rFonts w:eastAsiaTheme="majorEastAsia" w:cs="Times New Roman"/>
      <w:iCs/>
    </w:rPr>
  </w:style>
  <w:style w:type="paragraph" w:styleId="Heading5">
    <w:name w:val="heading 5"/>
    <w:basedOn w:val="Normal"/>
    <w:next w:val="BodyText"/>
    <w:link w:val="Heading5Char"/>
    <w:uiPriority w:val="1"/>
    <w:semiHidden/>
    <w:unhideWhenUsed/>
    <w:qFormat/>
    <w:rsid w:val="001D46C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1"/>
    <w:semiHidden/>
    <w:unhideWhenUsed/>
    <w:qFormat/>
    <w:rsid w:val="001D46C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1"/>
    <w:semiHidden/>
    <w:unhideWhenUsed/>
    <w:qFormat/>
    <w:rsid w:val="001D46C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1"/>
    <w:semiHidden/>
    <w:unhideWhenUsed/>
    <w:qFormat/>
    <w:rsid w:val="001D46C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1"/>
    <w:semiHidden/>
    <w:unhideWhenUsed/>
    <w:qFormat/>
    <w:rsid w:val="001D46C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rsid w:val="00A864B6"/>
    <w:pPr>
      <w:widowControl w:val="0"/>
      <w:spacing w:after="120" w:line="240" w:lineRule="auto"/>
      <w:jc w:val="both"/>
    </w:pPr>
    <w:rPr>
      <w:rFonts w:ascii="Times New Roman" w:hAnsi="Times New Roman"/>
      <w:sz w:val="20"/>
    </w:rPr>
  </w:style>
  <w:style w:type="character" w:styleId="FootnoteReference">
    <w:name w:val="footnote reference"/>
  </w:style>
  <w:style w:type="paragraph" w:styleId="BodyText">
    <w:name w:val="Body Text"/>
    <w:basedOn w:val="Normal"/>
    <w:link w:val="BodyTextChar"/>
    <w:qFormat/>
    <w:rsid w:val="008E21E5"/>
    <w:pPr>
      <w:spacing w:after="240" w:line="240" w:lineRule="auto"/>
    </w:pPr>
  </w:style>
  <w:style w:type="character" w:customStyle="1" w:styleId="BodyTextChar">
    <w:name w:val="Body Text Char"/>
    <w:basedOn w:val="DefaultParagraphFont"/>
    <w:link w:val="BodyText"/>
    <w:rsid w:val="008E21E5"/>
    <w:rPr>
      <w:rFonts w:ascii="Times New Roman" w:hAnsi="Times New Roman"/>
      <w:sz w:val="24"/>
    </w:rPr>
  </w:style>
  <w:style w:type="paragraph" w:styleId="BodyTextFirstIndent">
    <w:name w:val="Body Text First Indent"/>
    <w:basedOn w:val="BodyText"/>
    <w:link w:val="BodyTextFirstIndentChar"/>
    <w:qFormat/>
    <w:rsid w:val="00A77BBD"/>
    <w:pPr>
      <w:spacing w:after="0" w:line="480" w:lineRule="auto"/>
      <w:ind w:firstLine="720"/>
      <w:jc w:val="both"/>
    </w:pPr>
  </w:style>
  <w:style w:type="character" w:customStyle="1" w:styleId="BodyTextFirstIndentChar">
    <w:name w:val="Body Text First Indent Char"/>
    <w:basedOn w:val="BodyTextChar"/>
    <w:link w:val="BodyTextFirstIndent"/>
    <w:rsid w:val="00A77BBD"/>
    <w:rPr>
      <w:rFonts w:ascii="Times New Roman" w:hAnsi="Times New Roman"/>
      <w:sz w:val="24"/>
    </w:rPr>
  </w:style>
  <w:style w:type="table" w:styleId="TableGrid">
    <w:name w:val="Table Grid"/>
    <w:basedOn w:val="TableNormal"/>
    <w:uiPriority w:val="39"/>
    <w:rsid w:val="00A77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2E3DAF"/>
    <w:rPr>
      <w:rFonts w:ascii="Times New Roman" w:eastAsiaTheme="majorEastAsia" w:hAnsi="Times New Roman" w:cs="Times New Roman"/>
      <w:b/>
      <w:sz w:val="24"/>
      <w:szCs w:val="32"/>
    </w:rPr>
  </w:style>
  <w:style w:type="character" w:customStyle="1" w:styleId="Heading2Char">
    <w:name w:val="Heading 2 Char"/>
    <w:basedOn w:val="DefaultParagraphFont"/>
    <w:link w:val="Heading2"/>
    <w:uiPriority w:val="1"/>
    <w:rsid w:val="00EA0FCC"/>
    <w:rPr>
      <w:rFonts w:ascii="Times New Roman" w:eastAsiaTheme="majorEastAsia" w:hAnsi="Times New Roman" w:cs="Times New Roman"/>
      <w:b/>
      <w:sz w:val="24"/>
      <w:szCs w:val="26"/>
    </w:rPr>
  </w:style>
  <w:style w:type="character" w:customStyle="1" w:styleId="Heading3Char">
    <w:name w:val="Heading 3 Char"/>
    <w:basedOn w:val="DefaultParagraphFont"/>
    <w:link w:val="Heading3"/>
    <w:uiPriority w:val="1"/>
    <w:rsid w:val="00C364FF"/>
    <w:rPr>
      <w:rFonts w:ascii="Times New Roman" w:eastAsiaTheme="majorEastAsia" w:hAnsi="Times New Roman" w:cs="Times New Roman"/>
      <w:i/>
      <w:sz w:val="24"/>
      <w:szCs w:val="24"/>
    </w:rPr>
  </w:style>
  <w:style w:type="character" w:customStyle="1" w:styleId="Heading4Char">
    <w:name w:val="Heading 4 Char"/>
    <w:basedOn w:val="DefaultParagraphFont"/>
    <w:link w:val="Heading4"/>
    <w:uiPriority w:val="1"/>
    <w:rsid w:val="001D46C1"/>
    <w:rPr>
      <w:rFonts w:ascii="Times New Roman" w:eastAsiaTheme="majorEastAsia" w:hAnsi="Times New Roman" w:cs="Times New Roman"/>
      <w:iCs/>
      <w:sz w:val="24"/>
    </w:rPr>
  </w:style>
  <w:style w:type="character" w:customStyle="1" w:styleId="Heading5Char">
    <w:name w:val="Heading 5 Char"/>
    <w:basedOn w:val="DefaultParagraphFont"/>
    <w:link w:val="Heading5"/>
    <w:uiPriority w:val="1"/>
    <w:semiHidden/>
    <w:rsid w:val="00A77BBD"/>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1"/>
    <w:semiHidden/>
    <w:rsid w:val="00A77BBD"/>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1"/>
    <w:semiHidden/>
    <w:rsid w:val="00A77BBD"/>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1"/>
    <w:semiHidden/>
    <w:rsid w:val="00A77BB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1"/>
    <w:semiHidden/>
    <w:rsid w:val="00A77BBD"/>
    <w:rPr>
      <w:rFonts w:asciiTheme="majorHAnsi" w:eastAsiaTheme="majorEastAsia" w:hAnsiTheme="majorHAnsi" w:cstheme="majorBidi"/>
      <w:i/>
      <w:iCs/>
      <w:color w:val="272727" w:themeColor="text1" w:themeTint="D8"/>
      <w:sz w:val="21"/>
      <w:szCs w:val="21"/>
    </w:rPr>
  </w:style>
  <w:style w:type="paragraph" w:styleId="Footer">
    <w:name w:val="footer"/>
    <w:basedOn w:val="Normal"/>
    <w:link w:val="FooterChar"/>
    <w:uiPriority w:val="99"/>
    <w:unhideWhenUsed/>
    <w:rsid w:val="00472B68"/>
    <w:pPr>
      <w:tabs>
        <w:tab w:val="center" w:pos="4680"/>
        <w:tab w:val="right" w:pos="9360"/>
      </w:tabs>
      <w:spacing w:after="0" w:line="240" w:lineRule="auto"/>
    </w:pPr>
    <w:rPr>
      <w:sz w:val="18"/>
    </w:rPr>
  </w:style>
  <w:style w:type="character" w:customStyle="1" w:styleId="FooterChar">
    <w:name w:val="Footer Char"/>
    <w:basedOn w:val="DefaultParagraphFont"/>
    <w:link w:val="Footer"/>
    <w:uiPriority w:val="99"/>
    <w:rsid w:val="00472B68"/>
    <w:rPr>
      <w:rFonts w:ascii="Times New Roman" w:hAnsi="Times New Roman"/>
      <w:sz w:val="18"/>
    </w:rPr>
  </w:style>
  <w:style w:type="paragraph" w:styleId="BlockText">
    <w:name w:val="Block Text"/>
    <w:basedOn w:val="BodyText"/>
    <w:uiPriority w:val="4"/>
    <w:unhideWhenUsed/>
    <w:rsid w:val="008E21E5"/>
    <w:pPr>
      <w:ind w:left="810" w:right="802"/>
      <w:jc w:val="both"/>
    </w:pPr>
  </w:style>
  <w:style w:type="character" w:styleId="Hyperlink">
    <w:name w:val="Hyperlink"/>
    <w:basedOn w:val="DefaultParagraphFont"/>
    <w:uiPriority w:val="99"/>
    <w:unhideWhenUsed/>
    <w:rsid w:val="004A17EA"/>
    <w:rPr>
      <w:color w:val="0563C1" w:themeColor="hyperlink"/>
      <w:u w:val="single"/>
    </w:rPr>
  </w:style>
  <w:style w:type="character" w:styleId="UnresolvedMention">
    <w:name w:val="Unresolved Mention"/>
    <w:basedOn w:val="DefaultParagraphFont"/>
    <w:uiPriority w:val="99"/>
    <w:semiHidden/>
    <w:unhideWhenUsed/>
    <w:rsid w:val="004A17EA"/>
    <w:rPr>
      <w:color w:val="605E5C"/>
      <w:shd w:val="clear" w:color="auto" w:fill="E1DFDD"/>
    </w:rPr>
  </w:style>
  <w:style w:type="character" w:styleId="CommentReference">
    <w:name w:val="annotation reference"/>
    <w:basedOn w:val="DefaultParagraphFont"/>
    <w:uiPriority w:val="99"/>
    <w:semiHidden/>
    <w:unhideWhenUsed/>
    <w:rsid w:val="00405495"/>
    <w:rPr>
      <w:sz w:val="16"/>
      <w:szCs w:val="16"/>
    </w:rPr>
  </w:style>
  <w:style w:type="paragraph" w:styleId="CommentText">
    <w:name w:val="annotation text"/>
    <w:basedOn w:val="Normal"/>
    <w:link w:val="CommentTextChar"/>
    <w:uiPriority w:val="99"/>
    <w:semiHidden/>
    <w:unhideWhenUsed/>
    <w:rsid w:val="00405495"/>
    <w:pPr>
      <w:spacing w:line="240" w:lineRule="auto"/>
    </w:pPr>
    <w:rPr>
      <w:sz w:val="20"/>
      <w:szCs w:val="20"/>
    </w:rPr>
  </w:style>
  <w:style w:type="character" w:customStyle="1" w:styleId="CommentTextChar">
    <w:name w:val="Comment Text Char"/>
    <w:basedOn w:val="DefaultParagraphFont"/>
    <w:link w:val="CommentText"/>
    <w:uiPriority w:val="99"/>
    <w:semiHidden/>
    <w:rsid w:val="0040549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05495"/>
    <w:rPr>
      <w:b/>
      <w:bCs/>
    </w:rPr>
  </w:style>
  <w:style w:type="character" w:customStyle="1" w:styleId="CommentSubjectChar">
    <w:name w:val="Comment Subject Char"/>
    <w:basedOn w:val="CommentTextChar"/>
    <w:link w:val="CommentSubject"/>
    <w:uiPriority w:val="99"/>
    <w:semiHidden/>
    <w:rsid w:val="0040549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cholar.google.com/scholar?q=994+f.3d+1032&amp;btnG=&amp;hl=en&amp;as_sdt=6" TargetMode="External"/><Relationship Id="rId21" Type="http://schemas.openxmlformats.org/officeDocument/2006/relationships/hyperlink" Target="http://scholar.google.com/scholar?q=23+misc.3&amp;btnG=&amp;hl=en&amp;as_sdt=6" TargetMode="External"/><Relationship Id="rId63" Type="http://schemas.openxmlformats.org/officeDocument/2006/relationships/hyperlink" Target="https://www.westlaw.com/Link/Document/FullText?rs=USCLink&amp;vr=3.0&amp;findType=Y&amp;cite=2021%2Bwl%2B4240974&amp;refPos=4240974&amp;refPosType=s&amp;clientid=USCourts" TargetMode="External"/><Relationship Id="rId159" Type="http://schemas.openxmlformats.org/officeDocument/2006/relationships/hyperlink" Target="http://scholar.google.com/scholar?q=527+u.s.+815&amp;btnG=&amp;hl=en&amp;as_sdt=6" TargetMode="External"/><Relationship Id="rId170" Type="http://schemas.openxmlformats.org/officeDocument/2006/relationships/hyperlink" Target="http://scholar.google.com/scholar?q=416+f.3d+136&amp;btnG=&amp;hl=en&amp;as_sdt=6" TargetMode="External"/><Relationship Id="rId191" Type="http://schemas.openxmlformats.org/officeDocument/2006/relationships/hyperlink" Target="http://scholar.google.com/scholar?q=67+f.3d+1394&amp;btnG=&amp;hl=en&amp;as_sdt=6" TargetMode="External"/><Relationship Id="rId205" Type="http://schemas.openxmlformats.org/officeDocument/2006/relationships/hyperlink" Target="http://scholar.google.com/scholar?q=780+f.3d+1070&amp;btnG=&amp;hl=en&amp;as_sdt=6" TargetMode="External"/><Relationship Id="rId226" Type="http://schemas.openxmlformats.org/officeDocument/2006/relationships/hyperlink" Target="http://scholar.google.com/scholar?q=236+f.3d+117&amp;btnG=&amp;hl=en&amp;as_sdt=6" TargetMode="External"/><Relationship Id="rId247" Type="http://schemas.openxmlformats.org/officeDocument/2006/relationships/hyperlink" Target="http://scholar.google.com/scholar?q=485+u.s.+197&amp;btnG=&amp;hl=en&amp;as_sdt=6" TargetMode="External"/><Relationship Id="rId107" Type="http://schemas.openxmlformats.org/officeDocument/2006/relationships/hyperlink" Target="https://www.westlaw.com/Link/Document/FullText?rs=USCLink&amp;vr=3.0&amp;findType=Y&amp;cite=2021%2Bwl%2B4240974&amp;refPos=4240974&amp;refPosType=s&amp;clientid=USCourts" TargetMode="External"/><Relationship Id="rId11" Type="http://schemas.openxmlformats.org/officeDocument/2006/relationships/hyperlink" Target="https://nysd-ecf.sso.dcn/n/cmecfservices/rest/file/finddoc?caseYear=2021&amp;caseNum=08557&amp;caseType=cv&amp;caseOffice=7&amp;docNum=1" TargetMode="External"/><Relationship Id="rId32" Type="http://schemas.openxmlformats.org/officeDocument/2006/relationships/hyperlink" Target="https://www.westlaw.com/Link/Document/FullText?rs=USCLink&amp;vr=3.0&amp;findType=Y&amp;cite=2021%2Bwl%2B%2B4240974&amp;refPos=4240974&amp;refPosType=s&amp;clientid=USCourts" TargetMode="External"/><Relationship Id="rId53" Type="http://schemas.openxmlformats.org/officeDocument/2006/relationships/hyperlink" Target="http://scholar.google.com/scholar?q=855+f.3d+459&amp;btnG=&amp;hl=en&amp;as_sdt=6" TargetMode="External"/><Relationship Id="rId74" Type="http://schemas.openxmlformats.org/officeDocument/2006/relationships/hyperlink" Target="http://scholar.google.com/scholar?q=564++u.s.+499&amp;btnG=&amp;hl=en&amp;as_sdt=6" TargetMode="External"/><Relationship Id="rId128" Type="http://schemas.openxmlformats.org/officeDocument/2006/relationships/hyperlink" Target="https://www.westlaw.com/Link/Document/FullText?rs=USCLink&amp;vr=3.0&amp;findType=Y&amp;cite=2021%2Bwl%2B4240974&amp;refPos=4240974&amp;refPosType=s&amp;clientid=USCourts" TargetMode="External"/><Relationship Id="rId149" Type="http://schemas.openxmlformats.org/officeDocument/2006/relationships/hyperlink" Target="http://www.google.com/search?q=11+u.s.c.+++522" TargetMode="External"/><Relationship Id="rId5" Type="http://schemas.openxmlformats.org/officeDocument/2006/relationships/settings" Target="settings.xml"/><Relationship Id="rId95" Type="http://schemas.openxmlformats.org/officeDocument/2006/relationships/hyperlink" Target="http://scholar.google.com/scholar?q=557+u.s.+137&amp;btnG=&amp;hl=en&amp;as_sdt=6" TargetMode="External"/><Relationship Id="rId160" Type="http://schemas.openxmlformats.org/officeDocument/2006/relationships/hyperlink" Target="http://scholar.google.com/scholar?q=407+f.3d+125&amp;btnG=&amp;hl=en&amp;as_sdt=6" TargetMode="External"/><Relationship Id="rId181" Type="http://schemas.openxmlformats.org/officeDocument/2006/relationships/hyperlink" Target="http://scholar.google.com/scholar?q=676+f.3d+45&amp;btnG=&amp;hl=en&amp;as_sdt=6" TargetMode="External"/><Relationship Id="rId216" Type="http://schemas.openxmlformats.org/officeDocument/2006/relationships/hyperlink" Target="http://scholar.google.com/scholar?q=519+f.3d+640&amp;btnG=&amp;hl=en&amp;as_sdt=6" TargetMode="External"/><Relationship Id="rId237" Type="http://schemas.openxmlformats.org/officeDocument/2006/relationships/hyperlink" Target="http://www.google.com/search?q=11+u.s.c.++1129(b)(2)(a)(i)" TargetMode="External"/><Relationship Id="rId258" Type="http://schemas.openxmlformats.org/officeDocument/2006/relationships/header" Target="header3.xml"/><Relationship Id="rId22" Type="http://schemas.openxmlformats.org/officeDocument/2006/relationships/hyperlink" Target="https://www.westlaw.com/Link/Document/FullText?rs=USCLink&amp;vr=3.0&amp;findType=Y&amp;cite=2021%2Bwl%2B%2B4240974&amp;refPos=4240974&amp;refPosType=s&amp;clientid=USCourts" TargetMode="External"/><Relationship Id="rId43" Type="http://schemas.openxmlformats.org/officeDocument/2006/relationships/hyperlink" Target="http://scholar.google.com/scholar?q=203++f.++3d++203&amp;btnG=&amp;hl=en&amp;as_sdt=6" TargetMode="External"/><Relationship Id="rId64" Type="http://schemas.openxmlformats.org/officeDocument/2006/relationships/hyperlink" Target="http://scholar.google.com/scholar?q=945+f.3d+126&amp;btnG=&amp;hl=en&amp;as_sdt=6" TargetMode="External"/><Relationship Id="rId118" Type="http://schemas.openxmlformats.org/officeDocument/2006/relationships/hyperlink" Target="https://www.westlaw.com/Link/Document/FullText?rs=USCLink&amp;vr=3.0&amp;findType=Y&amp;cite=2021%2Bwl%2B4240974&amp;refPos=4240974&amp;refPosType=s&amp;clientid=USCourts" TargetMode="External"/><Relationship Id="rId139" Type="http://schemas.openxmlformats.org/officeDocument/2006/relationships/hyperlink" Target="http://scholar.google.com/scholar?q=880+f.2d+694&amp;btnG=&amp;hl=en&amp;as_sdt=6" TargetMode="External"/><Relationship Id="rId85" Type="http://schemas.openxmlformats.org/officeDocument/2006/relationships/hyperlink" Target="http://scholar.google.com/scholar?q=514++u.s.++300&amp;btnG=&amp;hl=en&amp;as_sdt=6" TargetMode="External"/><Relationship Id="rId150" Type="http://schemas.openxmlformats.org/officeDocument/2006/relationships/hyperlink" Target="http://www.google.com/search?q=11+u.s.c.+++522" TargetMode="External"/><Relationship Id="rId171" Type="http://schemas.openxmlformats.org/officeDocument/2006/relationships/hyperlink" Target="http://scholar.google.com/scholar?q=416+f.3d+136&amp;btnG=&amp;hl=en&amp;as_sdt=6" TargetMode="External"/><Relationship Id="rId192" Type="http://schemas.openxmlformats.org/officeDocument/2006/relationships/hyperlink" Target="http://scholar.google.com/scholar?q=922+f.2d+592&amp;btnG=&amp;hl=en&amp;as_sdt=6" TargetMode="External"/><Relationship Id="rId206" Type="http://schemas.openxmlformats.org/officeDocument/2006/relationships/hyperlink" Target="https://www.westlaw.com/Link/Document/FullText?rs=USCLink&amp;vr=3.0&amp;findType=Y&amp;cite=2021%2Bwl%2B4240974&amp;refPos=4240974&amp;refPosType=s&amp;clientid=USCourts" TargetMode="External"/><Relationship Id="rId227" Type="http://schemas.openxmlformats.org/officeDocument/2006/relationships/hyperlink" Target="http://scholar.google.com/scholar?q=508++b.r.+283&amp;btnG=&amp;hl=en&amp;as_sdt=6" TargetMode="External"/><Relationship Id="rId248" Type="http://schemas.openxmlformats.org/officeDocument/2006/relationships/hyperlink" Target="http://scholar.google.com/scholar?q=490+u.s.+755&amp;btnG=&amp;hl=en&amp;as_sdt=6" TargetMode="External"/><Relationship Id="rId12" Type="http://schemas.openxmlformats.org/officeDocument/2006/relationships/hyperlink" Target="http://scholar.google.com/scholar?q=218+f.r.d.+577&amp;btnG=&amp;hl=en&amp;as_sdt=6" TargetMode="External"/><Relationship Id="rId33" Type="http://schemas.openxmlformats.org/officeDocument/2006/relationships/hyperlink" Target="https://www.westlaw.com/Link/Document/FullText?rs=USCLink&amp;vr=3.0&amp;findType=Y&amp;cite=2021%2Bwl%2B%2B4240974&amp;refPos=4240974&amp;refPosType=s&amp;clientid=USCourts" TargetMode="External"/><Relationship Id="rId108" Type="http://schemas.openxmlformats.org/officeDocument/2006/relationships/hyperlink" Target="http://scholar.google.com/scholar?q=882+f.3d+341&amp;btnG=&amp;hl=en&amp;as_sdt=6" TargetMode="External"/><Relationship Id="rId129" Type="http://schemas.openxmlformats.org/officeDocument/2006/relationships/hyperlink" Target="https://www.westlaw.com/Link/Document/FullText?rs=USCLink&amp;vr=3.0&amp;findType=Y&amp;cite=2021%2Bwl%2B4240974&amp;refPos=4240974&amp;refPosType=s&amp;clientid=USCourts" TargetMode="External"/><Relationship Id="rId54" Type="http://schemas.openxmlformats.org/officeDocument/2006/relationships/hyperlink" Target="http://scholar.google.com/scholar?q=564+u.s.+462&amp;btnG=&amp;hl=en&amp;as_sdt=6" TargetMode="External"/><Relationship Id="rId75" Type="http://schemas.openxmlformats.org/officeDocument/2006/relationships/hyperlink" Target="http://scholar.google.com/scholar?q=576+b.r.+453&amp;btnG=&amp;hl=en&amp;as_sdt=6" TargetMode="External"/><Relationship Id="rId96" Type="http://schemas.openxmlformats.org/officeDocument/2006/relationships/hyperlink" Target="http://scholar.google.com/scholar?q=882+f.+3d+333&amp;btnG=&amp;hl=en&amp;as_sdt=6" TargetMode="External"/><Relationship Id="rId140" Type="http://schemas.openxmlformats.org/officeDocument/2006/relationships/hyperlink" Target="http://scholar.google.com/scholar?q=557+u.s.+137&amp;btnG=&amp;hl=en&amp;as_sdt=6" TargetMode="External"/><Relationship Id="rId161" Type="http://schemas.openxmlformats.org/officeDocument/2006/relationships/hyperlink" Target="http://scholar.google.com/scholar?q=192+f.r.d.+133&amp;btnG=&amp;hl=en&amp;as_sdt=6" TargetMode="External"/><Relationship Id="rId182" Type="http://schemas.openxmlformats.org/officeDocument/2006/relationships/hyperlink" Target="http://scholar.google.com/scholar?q=740+f.3d+81&amp;btnG=&amp;hl=en&amp;as_sdt=6" TargetMode="External"/><Relationship Id="rId217" Type="http://schemas.openxmlformats.org/officeDocument/2006/relationships/hyperlink" Target="https://www.westlaw.com/Link/Document/FullText?rs=USCLink&amp;vr=3.0&amp;findType=Y&amp;cite=2021%2Bwl%2B3932346&amp;refPos=3932346&amp;refPosType=s&amp;clientid=USCourts" TargetMode="External"/><Relationship Id="rId6" Type="http://schemas.openxmlformats.org/officeDocument/2006/relationships/webSettings" Target="webSettings.xml"/><Relationship Id="rId238" Type="http://schemas.openxmlformats.org/officeDocument/2006/relationships/hyperlink" Target="http://www.google.com/search?q=11+u.s.c.++1129(b)(2)(a)(i)" TargetMode="External"/><Relationship Id="rId259" Type="http://schemas.openxmlformats.org/officeDocument/2006/relationships/footer" Target="footer3.xml"/><Relationship Id="rId23" Type="http://schemas.openxmlformats.org/officeDocument/2006/relationships/hyperlink" Target="https://www.westlaw.com/Link/Document/FullText?rs=USCLink&amp;vr=3.0&amp;findType=Y&amp;cite=2021%2Bwl%2B%2B4240974&amp;refPos=4240974&amp;refPosType=s&amp;clientid=USCourts" TargetMode="External"/><Relationship Id="rId119" Type="http://schemas.openxmlformats.org/officeDocument/2006/relationships/hyperlink" Target="http://scholar.google.com/scholar?q=416+f.3d+136&amp;btnG=&amp;hl=en&amp;as_sdt=6" TargetMode="External"/><Relationship Id="rId44" Type="http://schemas.openxmlformats.org/officeDocument/2006/relationships/hyperlink" Target="http://scholar.google.com/scholar?q=426++b.r.++114&amp;btnG=&amp;hl=en&amp;as_sdt=6" TargetMode="External"/><Relationship Id="rId65" Type="http://schemas.openxmlformats.org/officeDocument/2006/relationships/hyperlink" Target="http://scholar.google.com/scholar?q=140+s.+ct.+2805&amp;btnG=&amp;hl=en&amp;as_sdt=6" TargetMode="External"/><Relationship Id="rId86" Type="http://schemas.openxmlformats.org/officeDocument/2006/relationships/hyperlink" Target="http://scholar.google.com/scholar?q=546+u.s.+356&amp;btnG=&amp;hl=en&amp;as_sdt=6" TargetMode="External"/><Relationship Id="rId130" Type="http://schemas.openxmlformats.org/officeDocument/2006/relationships/hyperlink" Target="http://www.google.com/search?q=11+u.s.c.++524(g)" TargetMode="External"/><Relationship Id="rId151" Type="http://schemas.openxmlformats.org/officeDocument/2006/relationships/hyperlink" Target="http://scholar.google.com/scholar?q=571+u.s.+415&amp;btnG=&amp;hl=en&amp;as_sdt=6" TargetMode="External"/><Relationship Id="rId172" Type="http://schemas.openxmlformats.org/officeDocument/2006/relationships/hyperlink" Target="http://www.google.com/search?q=11++u.s.c.++++524(g)" TargetMode="External"/><Relationship Id="rId193" Type="http://schemas.openxmlformats.org/officeDocument/2006/relationships/hyperlink" Target="http://scholar.google.com/scholar?q=945+f.3d++126&amp;btnG=&amp;hl=en&amp;as_sdt=6" TargetMode="External"/><Relationship Id="rId207" Type="http://schemas.openxmlformats.org/officeDocument/2006/relationships/hyperlink" Target="http://www.google.com/search?q=11+u.s.c.++1123" TargetMode="External"/><Relationship Id="rId228" Type="http://schemas.openxmlformats.org/officeDocument/2006/relationships/hyperlink" Target="http://scholar.google.com/scholar?q=508++b.r.+283&amp;btnG=&amp;hl=en&amp;as_sdt=6" TargetMode="External"/><Relationship Id="rId249" Type="http://schemas.openxmlformats.org/officeDocument/2006/relationships/hyperlink" Target="http://scholar.google.com/scholar?q=600+f.+3d+135&amp;btnG=&amp;hl=en&amp;as_sdt=6" TargetMode="External"/><Relationship Id="rId13" Type="http://schemas.openxmlformats.org/officeDocument/2006/relationships/hyperlink" Target="https://www.westlaw.com/Link/Document/FullText?rs=USCLink&amp;vr=3.0&amp;findType=Y&amp;cite=2005%2Bwl%2B192351&amp;refPos=192351&amp;refPosType=s&amp;clientid=USCourts" TargetMode="External"/><Relationship Id="rId109" Type="http://schemas.openxmlformats.org/officeDocument/2006/relationships/hyperlink" Target="http://scholar.google.com/scholar?q=293+b.r.+308&amp;btnG=&amp;hl=en&amp;as_sdt=6" TargetMode="External"/><Relationship Id="rId260" Type="http://schemas.openxmlformats.org/officeDocument/2006/relationships/fontTable" Target="fontTable.xml"/><Relationship Id="rId34" Type="http://schemas.openxmlformats.org/officeDocument/2006/relationships/hyperlink" Target="http://scholar.google.com/scholar?q=546+u.s.+462&amp;btnG=&amp;hl=en&amp;as_sdt=6" TargetMode="External"/><Relationship Id="rId55" Type="http://schemas.openxmlformats.org/officeDocument/2006/relationships/hyperlink" Target="http://scholar.google.com/scholar?q=573+u.s.+25&amp;btnG=&amp;hl=en&amp;as_sdt=6" TargetMode="External"/><Relationship Id="rId76" Type="http://schemas.openxmlformats.org/officeDocument/2006/relationships/hyperlink" Target="http://scholar.google.com/scholar?q=564+u.s.+469&amp;btnG=&amp;hl=en&amp;as_sdt=6" TargetMode="External"/><Relationship Id="rId97" Type="http://schemas.openxmlformats.org/officeDocument/2006/relationships/hyperlink" Target="http://scholar.google.com/scholar?q=980+f.2d+110&amp;btnG=&amp;hl=en&amp;as_sdt=6" TargetMode="External"/><Relationship Id="rId120" Type="http://schemas.openxmlformats.org/officeDocument/2006/relationships/hyperlink" Target="https://www.westlaw.com/Link/Document/FullText?rs=USCLink&amp;vr=3.0&amp;findType=Y&amp;cite=2021%2Bwl%2B4240974&amp;refPos=4240974&amp;refPosType=s&amp;clientid=USCourts" TargetMode="External"/><Relationship Id="rId141" Type="http://schemas.openxmlformats.org/officeDocument/2006/relationships/hyperlink" Target="http://scholar.google.com/scholar?q=566+u.s.+639&amp;btnG=&amp;hl=en&amp;as_sdt=6" TargetMode="External"/><Relationship Id="rId7" Type="http://schemas.openxmlformats.org/officeDocument/2006/relationships/footnotes" Target="footnotes.xml"/><Relationship Id="rId162" Type="http://schemas.openxmlformats.org/officeDocument/2006/relationships/hyperlink" Target="http://scholar.google.com/scholar?q=527+u.s.+815&amp;btnG=&amp;hl=en&amp;as_sdt=6" TargetMode="External"/><Relationship Id="rId183" Type="http://schemas.openxmlformats.org/officeDocument/2006/relationships/hyperlink" Target="http://scholar.google.com/scholar?q=522+f.3d+575&amp;btnG=&amp;hl=en&amp;as_sdt=6" TargetMode="External"/><Relationship Id="rId218" Type="http://schemas.openxmlformats.org/officeDocument/2006/relationships/hyperlink" Target="http://www.google.com/search?q=11+u.s.c.++523(a)(7)" TargetMode="External"/><Relationship Id="rId239" Type="http://schemas.openxmlformats.org/officeDocument/2006/relationships/hyperlink" Target="http://scholar.google.com/scholar?q=566+u.s.+639&amp;btnG=&amp;hl=en&amp;as_sdt=6" TargetMode="External"/><Relationship Id="rId250" Type="http://schemas.openxmlformats.org/officeDocument/2006/relationships/comments" Target="comments.xml"/><Relationship Id="rId24" Type="http://schemas.openxmlformats.org/officeDocument/2006/relationships/hyperlink" Target="http://www.google.com/search?q=21+u.s.c.++331(a)" TargetMode="External"/><Relationship Id="rId45" Type="http://schemas.openxmlformats.org/officeDocument/2006/relationships/hyperlink" Target="https://www.westlaw.com/Link/Document/FullText?rs=USCLink&amp;vr=3.0&amp;findType=Y&amp;cite=2021%2Bwl%2B4240974&amp;refPos=4240974&amp;refPosType=s&amp;clientid=USCourts" TargetMode="External"/><Relationship Id="rId66" Type="http://schemas.openxmlformats.org/officeDocument/2006/relationships/hyperlink" Target="http://scholar.google.com/scholar?q=591++b.r.+559&amp;btnG=&amp;hl=en&amp;as_sdt=6" TargetMode="External"/><Relationship Id="rId87" Type="http://schemas.openxmlformats.org/officeDocument/2006/relationships/hyperlink" Target="http://www.google.com/search?q=28+u.s.c.++1334(b)" TargetMode="External"/><Relationship Id="rId110" Type="http://schemas.openxmlformats.org/officeDocument/2006/relationships/hyperlink" Target="https://www.westlaw.com/Link/Document/FullText?rs=USCLink&amp;vr=3.0&amp;findType=Y&amp;cite=2021%2Bwl%2B4240974&amp;refPos=4240974&amp;refPosType=s&amp;clientid=USCourts" TargetMode="External"/><Relationship Id="rId131" Type="http://schemas.openxmlformats.org/officeDocument/2006/relationships/hyperlink" Target="http://www.google.com/search?q=11+u.s.c.++524(g)(4)(a)" TargetMode="External"/><Relationship Id="rId152" Type="http://schemas.openxmlformats.org/officeDocument/2006/relationships/hyperlink" Target="http://scholar.google.com/scholar?q=571+u.s.+415&amp;btnG=&amp;hl=en&amp;as_sdt=6" TargetMode="External"/><Relationship Id="rId173" Type="http://schemas.openxmlformats.org/officeDocument/2006/relationships/hyperlink" Target="http://scholar.google.com/scholar?q=416+f.+3d+136&amp;btnG=&amp;hl=en&amp;as_sdt=6" TargetMode="External"/><Relationship Id="rId194" Type="http://schemas.openxmlformats.org/officeDocument/2006/relationships/hyperlink" Target="http://scholar.google.com/scholar?q=945+f.3d++126&amp;btnG=&amp;hl=en&amp;as_sdt=6" TargetMode="External"/><Relationship Id="rId208" Type="http://schemas.openxmlformats.org/officeDocument/2006/relationships/hyperlink" Target="http://www.google.com/search?q=11+u.s.c++1123(b)(6)" TargetMode="External"/><Relationship Id="rId229" Type="http://schemas.openxmlformats.org/officeDocument/2006/relationships/hyperlink" Target="http://scholar.google.com/scholar?q=508+b.r.+283&amp;btnG=&amp;hl=en&amp;as_sdt=6" TargetMode="External"/><Relationship Id="rId240" Type="http://schemas.openxmlformats.org/officeDocument/2006/relationships/hyperlink" Target="http://scholar.google.com/scholar?q=566+u.s.+639&amp;btnG=&amp;hl=en&amp;as_sdt=6" TargetMode="External"/><Relationship Id="rId261" Type="http://schemas.microsoft.com/office/2011/relationships/people" Target="people.xml"/><Relationship Id="rId14" Type="http://schemas.openxmlformats.org/officeDocument/2006/relationships/hyperlink" Target="https://www.westlaw.com/Link/Document/FullText?rs=USCLink&amp;vr=3.0&amp;findType=Y&amp;cite=2002%2Bwl%2B%2B1008608&amp;refPos=1008608&amp;refPosType=s&amp;clientid=USCourts" TargetMode="External"/><Relationship Id="rId35" Type="http://schemas.openxmlformats.org/officeDocument/2006/relationships/hyperlink" Target="https://www.westlaw.com/Link/Document/FullText?rs=USCLink&amp;vr=3.0&amp;findType=Y&amp;cite=2021%2Bwl%2B4240974&amp;refPos=4240974&amp;refPosType=s&amp;clientid=USCourts" TargetMode="External"/><Relationship Id="rId56" Type="http://schemas.openxmlformats.org/officeDocument/2006/relationships/hyperlink" Target="https://www.westlaw.com/Link/Document/FullText?rs=USCLink&amp;vr=3.0&amp;findType=Y&amp;cite=2021%2Bwl%2B4240974&amp;refPos=4240974&amp;refPosType=s&amp;clientid=USCourts" TargetMode="External"/><Relationship Id="rId77" Type="http://schemas.openxmlformats.org/officeDocument/2006/relationships/hyperlink" Target="http://scholar.google.com/scholar?q=599++b.r.+717&amp;btnG=&amp;hl=en&amp;as_sdt=6" TargetMode="External"/><Relationship Id="rId100" Type="http://schemas.openxmlformats.org/officeDocument/2006/relationships/hyperlink" Target="http://scholar.google.com/scholar?q=677+fed.appx.+5&amp;btnG=&amp;hl=en&amp;as_sdt=6" TargetMode="External"/><Relationship Id="rId8" Type="http://schemas.openxmlformats.org/officeDocument/2006/relationships/endnotes" Target="endnotes.xml"/><Relationship Id="rId98" Type="http://schemas.openxmlformats.org/officeDocument/2006/relationships/hyperlink" Target="http://scholar.google.com/scholar?q=514+u.s.+300&amp;btnG=&amp;hl=en&amp;as_sdt=6" TargetMode="External"/><Relationship Id="rId121" Type="http://schemas.openxmlformats.org/officeDocument/2006/relationships/hyperlink" Target="http://scholar.google.com/scholar?q=592+b.r.+489&amp;btnG=&amp;hl=en&amp;as_sdt=6" TargetMode="External"/><Relationship Id="rId142" Type="http://schemas.openxmlformats.org/officeDocument/2006/relationships/hyperlink" Target="http://scholar.google.com/scholar?q=516+u.s.+489&amp;btnG=&amp;hl=en&amp;as_sdt=6" TargetMode="External"/><Relationship Id="rId163" Type="http://schemas.openxmlformats.org/officeDocument/2006/relationships/hyperlink" Target="http://scholar.google.com/scholar?q=517+f.3d+52&amp;btnG=&amp;hl=en&amp;as_sdt=6" TargetMode="External"/><Relationship Id="rId184" Type="http://schemas.openxmlformats.org/officeDocument/2006/relationships/hyperlink" Target="http://scholar.google.com/scholar?q=855+f.3d+84&amp;btnG=&amp;hl=en&amp;as_sdt=6" TargetMode="External"/><Relationship Id="rId219" Type="http://schemas.openxmlformats.org/officeDocument/2006/relationships/hyperlink" Target="http://www.google.com/search?q=11+u.s.c.++524(e)" TargetMode="External"/><Relationship Id="rId230" Type="http://schemas.openxmlformats.org/officeDocument/2006/relationships/hyperlink" Target="http://scholar.google.com/scholar?q=137+s.+ct.+973&amp;btnG=&amp;hl=en&amp;as_sdt=6" TargetMode="External"/><Relationship Id="rId251" Type="http://schemas.microsoft.com/office/2011/relationships/commentsExtended" Target="commentsExtended.xml"/><Relationship Id="rId25" Type="http://schemas.openxmlformats.org/officeDocument/2006/relationships/hyperlink" Target="http://www.google.com/search?q=21+u.s.c.+333(a)(2)" TargetMode="External"/><Relationship Id="rId46" Type="http://schemas.openxmlformats.org/officeDocument/2006/relationships/hyperlink" Target="http://scholar.google.com/scholar?q=416+f.+3d+136&amp;btnG=&amp;hl=en&amp;as_sdt=6" TargetMode="External"/><Relationship Id="rId67" Type="http://schemas.openxmlformats.org/officeDocument/2006/relationships/hyperlink" Target="http://scholar.google.com/scholar?q=591++b.r.+559&amp;btnG=&amp;hl=en&amp;as_sdt=6" TargetMode="External"/><Relationship Id="rId88" Type="http://schemas.openxmlformats.org/officeDocument/2006/relationships/hyperlink" Target="http://scholar.google.com/scholar?q=310+f.3d+64&amp;btnG=&amp;hl=en&amp;as_sdt=6" TargetMode="External"/><Relationship Id="rId111" Type="http://schemas.openxmlformats.org/officeDocument/2006/relationships/hyperlink" Target="http://scholar.google.com/scholar?q=517+f.3d+52&amp;btnG=&amp;hl=en&amp;as_sdt=6" TargetMode="External"/><Relationship Id="rId132" Type="http://schemas.openxmlformats.org/officeDocument/2006/relationships/hyperlink" Target="http://www.google.com/search?q=11+u.s.c.++524(g)(4)(a)(ii)" TargetMode="External"/><Relationship Id="rId153" Type="http://schemas.openxmlformats.org/officeDocument/2006/relationships/hyperlink" Target="http://scholar.google.com/scholar?q=137+s.+ct.+973&amp;btnG=&amp;hl=en&amp;as_sdt=6" TargetMode="External"/><Relationship Id="rId174" Type="http://schemas.openxmlformats.org/officeDocument/2006/relationships/hyperlink" Target="http://www.google.com/search?q=11+u.s.c.++105(a)" TargetMode="External"/><Relationship Id="rId195" Type="http://schemas.openxmlformats.org/officeDocument/2006/relationships/hyperlink" Target="https://www.westlaw.com/Link/Document/FullText?rs=USCLink&amp;vr=3.0&amp;findType=Y&amp;cite=2021%2Bwl%2B4240974&amp;refPos=4240974&amp;refPosType=s&amp;clientid=USCourts" TargetMode="External"/><Relationship Id="rId209" Type="http://schemas.openxmlformats.org/officeDocument/2006/relationships/hyperlink" Target="http://www.google.com/search?q=11+u.s.c.+++105(a)" TargetMode="External"/><Relationship Id="rId220" Type="http://schemas.openxmlformats.org/officeDocument/2006/relationships/hyperlink" Target="http://www.google.com/search?q=11+u.s.c.++524(g)" TargetMode="External"/><Relationship Id="rId241" Type="http://schemas.openxmlformats.org/officeDocument/2006/relationships/hyperlink" Target="http://scholar.google.com/scholar?q=285+u.s.+204&amp;btnG=&amp;hl=en&amp;as_sdt=6" TargetMode="External"/><Relationship Id="rId15" Type="http://schemas.openxmlformats.org/officeDocument/2006/relationships/hyperlink" Target="https://www.westlaw.com/Link/Document/FullText?rs=USCLink&amp;vr=3.0&amp;findType=Y&amp;cite=2002%2Bwl%2B%2B1008608&amp;refPos=1008608&amp;refPosType=s&amp;clientid=USCourts" TargetMode="External"/><Relationship Id="rId36" Type="http://schemas.openxmlformats.org/officeDocument/2006/relationships/hyperlink" Target="http://scholar.google.com/scholar?q=416+f.+3d+136&amp;btnG=&amp;hl=en&amp;as_sdt=6" TargetMode="External"/><Relationship Id="rId57" Type="http://schemas.openxmlformats.org/officeDocument/2006/relationships/hyperlink" Target="http://www.google.com/search?q=28+u.s.c.+157(a)" TargetMode="External"/><Relationship Id="rId262" Type="http://schemas.openxmlformats.org/officeDocument/2006/relationships/theme" Target="theme/theme1.xml"/><Relationship Id="rId78" Type="http://schemas.openxmlformats.org/officeDocument/2006/relationships/hyperlink" Target="http://scholar.google.com/scholar?q=599++b.r.+717&amp;btnG=&amp;hl=en&amp;as_sdt=6" TargetMode="External"/><Relationship Id="rId99" Type="http://schemas.openxmlformats.org/officeDocument/2006/relationships/hyperlink" Target="http://scholar.google.com/scholar?q=900+f.3d+126&amp;btnG=&amp;hl=en&amp;as_sdt=6" TargetMode="External"/><Relationship Id="rId101" Type="http://schemas.openxmlformats.org/officeDocument/2006/relationships/hyperlink" Target="http://scholar.google.com/scholar?q=882+f.3d+333&amp;btnG=&amp;hl=en&amp;as_sdt=6" TargetMode="External"/><Relationship Id="rId122" Type="http://schemas.openxmlformats.org/officeDocument/2006/relationships/hyperlink" Target="http://scholar.google.com/scholar?q=792+f.+app%c3%bd%c3%bd%c3%bdx+99&amp;btnG=&amp;hl=en&amp;as_sdt=6" TargetMode="External"/><Relationship Id="rId143" Type="http://schemas.openxmlformats.org/officeDocument/2006/relationships/hyperlink" Target="http://scholar.google.com/scholar?q=485+u.s.+197&amp;btnG=&amp;hl=en&amp;as_sdt=6" TargetMode="External"/><Relationship Id="rId164" Type="http://schemas.openxmlformats.org/officeDocument/2006/relationships/hyperlink" Target="http://scholar.google.com/scholar?q=517+f.3d+52&amp;btnG=&amp;hl=en&amp;as_sdt=6" TargetMode="External"/><Relationship Id="rId185" Type="http://schemas.openxmlformats.org/officeDocument/2006/relationships/hyperlink" Target="http://scholar.google.com/scholar?q=855+f.3d+84&amp;btnG=&amp;hl=en&amp;as_sdt=6" TargetMode="External"/><Relationship Id="rId9" Type="http://schemas.openxmlformats.org/officeDocument/2006/relationships/hyperlink" Target="http://scholar.google.com/scholar?q=566+u.s.+639&amp;btnG=&amp;hl=en&amp;as_sdt=6" TargetMode="External"/><Relationship Id="rId210" Type="http://schemas.openxmlformats.org/officeDocument/2006/relationships/hyperlink" Target="http://www.google.com/search?q=11+u.s.c.+++105(a)" TargetMode="External"/><Relationship Id="rId26" Type="http://schemas.openxmlformats.org/officeDocument/2006/relationships/hyperlink" Target="https://nysd-ecf.sso.dcn/n/cmecfservices/rest/file/finddoc?caseYear=2021&amp;caseNum=08557&amp;caseType=cv&amp;caseOffice=7&amp;docNum=5&amp;docSeq=14" TargetMode="External"/><Relationship Id="rId231" Type="http://schemas.openxmlformats.org/officeDocument/2006/relationships/hyperlink" Target="http://scholar.google.com/scholar?q=956+f.2d+30&amp;btnG=&amp;hl=en&amp;as_sdt=6" TargetMode="External"/><Relationship Id="rId252" Type="http://schemas.microsoft.com/office/2016/09/relationships/commentsIds" Target="commentsIds.xml"/><Relationship Id="rId47" Type="http://schemas.openxmlformats.org/officeDocument/2006/relationships/hyperlink" Target="https://www.westlaw.com/Link/Document/FullText?rs=USCLink&amp;vr=3.0&amp;findType=Y&amp;cite=2021%2Bwl%2B4240974&amp;refPos=4240974&amp;refPosType=s&amp;clientid=USCourts" TargetMode="External"/><Relationship Id="rId68" Type="http://schemas.openxmlformats.org/officeDocument/2006/relationships/hyperlink" Target="http://scholar.google.com/scholar?q=945+f.3d++126&amp;btnG=&amp;hl=en&amp;as_sdt=6" TargetMode="External"/><Relationship Id="rId89" Type="http://schemas.openxmlformats.org/officeDocument/2006/relationships/hyperlink" Target="http://scholar.google.com/scholar?q=419+f.3d+83&amp;btnG=&amp;hl=en&amp;as_sdt=6" TargetMode="External"/><Relationship Id="rId112" Type="http://schemas.openxmlformats.org/officeDocument/2006/relationships/hyperlink" Target="http://scholar.google.com/scholar?q=557+u.s.+137&amp;btnG=&amp;hl=en&amp;as_sdt=6" TargetMode="External"/><Relationship Id="rId133" Type="http://schemas.openxmlformats.org/officeDocument/2006/relationships/hyperlink" Target="http://www.google.com/search?q=11+u.s.c.++524(e)" TargetMode="External"/><Relationship Id="rId154" Type="http://schemas.openxmlformats.org/officeDocument/2006/relationships/hyperlink" Target="http://scholar.google.com/scholar?q=137+s.+ct.+973&amp;btnG=&amp;hl=en&amp;as_sdt=6" TargetMode="External"/><Relationship Id="rId175" Type="http://schemas.openxmlformats.org/officeDocument/2006/relationships/hyperlink" Target="http://scholar.google.com/scholar?q=351++f.3d++86&amp;btnG=&amp;hl=en&amp;as_sdt=6" TargetMode="External"/><Relationship Id="rId196" Type="http://schemas.openxmlformats.org/officeDocument/2006/relationships/hyperlink" Target="http://scholar.google.com/scholar?q=945+f.3d+139&amp;btnG=&amp;hl=en&amp;as_sdt=6" TargetMode="External"/><Relationship Id="rId200" Type="http://schemas.openxmlformats.org/officeDocument/2006/relationships/hyperlink" Target="http://scholar.google.com/scholar?q=391++f.3d+190&amp;btnG=&amp;hl=en&amp;as_sdt=6" TargetMode="External"/><Relationship Id="rId16" Type="http://schemas.openxmlformats.org/officeDocument/2006/relationships/hyperlink" Target="http://scholar.google.com/scholar?q=212+f.r.d.+333&amp;btnG=&amp;hl=en&amp;as_sdt=6" TargetMode="External"/><Relationship Id="rId221" Type="http://schemas.openxmlformats.org/officeDocument/2006/relationships/hyperlink" Target="http://www.google.com/search?q=11+u.s.c.++1123(a)(5)" TargetMode="External"/><Relationship Id="rId242" Type="http://schemas.openxmlformats.org/officeDocument/2006/relationships/hyperlink" Target="http://scholar.google.com/scholar?q=285+u.s.+204&amp;btnG=&amp;hl=en&amp;as_sdt=6" TargetMode="External"/><Relationship Id="rId37" Type="http://schemas.openxmlformats.org/officeDocument/2006/relationships/hyperlink" Target="https://www.westlaw.com/Link/Document/FullText?rs=USCLink&amp;vr=3.0&amp;findType=Y&amp;cite=2021%2B%2Bwl%2B4240974&amp;refPos=4240974&amp;refPosType=s&amp;clientid=USCourts" TargetMode="External"/><Relationship Id="rId58" Type="http://schemas.openxmlformats.org/officeDocument/2006/relationships/hyperlink" Target="http://www.google.com/search?q=28+u.s.c.++157(b)(1)" TargetMode="External"/><Relationship Id="rId79" Type="http://schemas.openxmlformats.org/officeDocument/2006/relationships/hyperlink" Target="http://scholar.google.com/scholar?q=223+b.r.+1&amp;btnG=&amp;hl=en&amp;as_sdt=6" TargetMode="External"/><Relationship Id="rId102" Type="http://schemas.openxmlformats.org/officeDocument/2006/relationships/hyperlink" Target="http://scholar.google.com/scholar?q=514+u.s.+300&amp;btnG=&amp;hl=en&amp;as_sdt=6" TargetMode="External"/><Relationship Id="rId123" Type="http://schemas.openxmlformats.org/officeDocument/2006/relationships/hyperlink" Target="http://scholar.google.com/scholar?q=517+f.3d+52&amp;btnG=&amp;hl=en&amp;as_sdt=6" TargetMode="External"/><Relationship Id="rId144" Type="http://schemas.openxmlformats.org/officeDocument/2006/relationships/hyperlink" Target="http://scholar.google.com/scholar?q=571+u.s.+415&amp;btnG=&amp;hl=en&amp;as_sdt=6" TargetMode="External"/><Relationship Id="rId90" Type="http://schemas.openxmlformats.org/officeDocument/2006/relationships/hyperlink" Target="http://scholar.google.com/scholar?q=45+f.3d+702&amp;btnG=&amp;hl=en&amp;as_sdt=6" TargetMode="External"/><Relationship Id="rId165" Type="http://schemas.openxmlformats.org/officeDocument/2006/relationships/hyperlink" Target="http://scholar.google.com/scholar?q=391++f.++3d++190&amp;btnG=&amp;hl=en&amp;as_sdt=6" TargetMode="External"/><Relationship Id="rId186" Type="http://schemas.openxmlformats.org/officeDocument/2006/relationships/hyperlink" Target="http://scholar.google.com/scholar?q=792+fed.+appx.+99&amp;btnG=&amp;hl=en&amp;as_sdt=6" TargetMode="External"/><Relationship Id="rId211" Type="http://schemas.openxmlformats.org/officeDocument/2006/relationships/hyperlink" Target="http://www.google.com/search?q=11+u.s.c.++523(a)(2)" TargetMode="External"/><Relationship Id="rId232" Type="http://schemas.openxmlformats.org/officeDocument/2006/relationships/hyperlink" Target="http://scholar.google.com/scholar?q=599+b.r.+717&amp;btnG=&amp;hl=en&amp;as_sdt=6" TargetMode="External"/><Relationship Id="rId253" Type="http://schemas.microsoft.com/office/2018/08/relationships/commentsExtensible" Target="commentsExtensible.xml"/><Relationship Id="rId27" Type="http://schemas.openxmlformats.org/officeDocument/2006/relationships/hyperlink" Target="https://nysd-ecf.sso.dcn/n/cmecfservices/rest/file/finddoc?caseYear=2021&amp;caseNum=08557&amp;caseType=cv&amp;caseOffice=7&amp;docNum=91&amp;docSeq=4" TargetMode="External"/><Relationship Id="rId48" Type="http://schemas.openxmlformats.org/officeDocument/2006/relationships/hyperlink" Target="https://www.westlaw.com/Link/Document/FullText?rs=USCLink&amp;vr=3.0&amp;findType=Y&amp;cite=2021%2Bwl%2B4240974&amp;refPos=4240974&amp;refPosType=s&amp;clientid=USCourts" TargetMode="External"/><Relationship Id="rId69" Type="http://schemas.openxmlformats.org/officeDocument/2006/relationships/hyperlink" Target="http://scholar.google.com/scholar?q=945+f.3d++126&amp;btnG=&amp;hl=en&amp;as_sdt=6" TargetMode="External"/><Relationship Id="rId113" Type="http://schemas.openxmlformats.org/officeDocument/2006/relationships/hyperlink" Target="http://scholar.google.com/scholar?q=600+f.+3d+135&amp;btnG=&amp;hl=en&amp;as_sdt=6" TargetMode="External"/><Relationship Id="rId134" Type="http://schemas.openxmlformats.org/officeDocument/2006/relationships/hyperlink" Target="http://scholar.google.com/scholar?q=837++f.2d+89&amp;btnG=&amp;hl=en&amp;as_sdt=6" TargetMode="External"/><Relationship Id="rId80" Type="http://schemas.openxmlformats.org/officeDocument/2006/relationships/hyperlink" Target="http://scholar.google.com/scholar?q=305++u.s.+165&amp;btnG=&amp;hl=en&amp;as_sdt=6" TargetMode="External"/><Relationship Id="rId155" Type="http://schemas.openxmlformats.org/officeDocument/2006/relationships/hyperlink" Target="http://scholar.google.com/scholar?q=960+f.+2d+285&amp;btnG=&amp;hl=en&amp;as_sdt=6" TargetMode="External"/><Relationship Id="rId176" Type="http://schemas.openxmlformats.org/officeDocument/2006/relationships/hyperlink" Target="http://scholar.google.com/scholar?q=351+f.+3d+86&amp;btnG=&amp;hl=en&amp;as_sdt=6" TargetMode="External"/><Relationship Id="rId197" Type="http://schemas.openxmlformats.org/officeDocument/2006/relationships/hyperlink" Target="http://scholar.google.com/scholar?q=203+f.3d+203&amp;btnG=&amp;hl=en&amp;as_sdt=6" TargetMode="External"/><Relationship Id="rId201" Type="http://schemas.openxmlformats.org/officeDocument/2006/relationships/hyperlink" Target="http://scholar.google.com/scholar?q=65+f.+3d+973&amp;btnG=&amp;hl=en&amp;as_sdt=6" TargetMode="External"/><Relationship Id="rId222" Type="http://schemas.openxmlformats.org/officeDocument/2006/relationships/hyperlink" Target="http://scholar.google.com/scholar?q=351+f.+3d+86&amp;btnG=&amp;hl=en&amp;as_sdt=6" TargetMode="External"/><Relationship Id="rId243" Type="http://schemas.openxmlformats.org/officeDocument/2006/relationships/hyperlink" Target="https://www.westlaw.com/Link/Document/FullText?rs=USCLink&amp;vr=3.0&amp;findType=Y&amp;cite=2021%2Bwl%2B4240974&amp;refPos=4240974&amp;refPosType=s&amp;clientid=USCourts" TargetMode="External"/><Relationship Id="rId17" Type="http://schemas.openxmlformats.org/officeDocument/2006/relationships/hyperlink" Target="http://scholar.google.com/scholar?q=212+f.r.d.+333&amp;btnG=&amp;hl=en&amp;as_sdt=6" TargetMode="External"/><Relationship Id="rId38" Type="http://schemas.openxmlformats.org/officeDocument/2006/relationships/hyperlink" Target="https://www.westlaw.com/Link/Document/FullText?rs=USCLink&amp;vr=3.0&amp;findType=Y&amp;cite=2021%2B%2Bwl%2B4240974&amp;refPos=4240974&amp;refPosType=s&amp;clientid=USCourts" TargetMode="External"/><Relationship Id="rId59" Type="http://schemas.openxmlformats.org/officeDocument/2006/relationships/hyperlink" Target="http://www.google.com/search?q=28+u.s.c.++157(b)(1)" TargetMode="External"/><Relationship Id="rId103" Type="http://schemas.openxmlformats.org/officeDocument/2006/relationships/hyperlink" Target="http://scholar.google.com/scholar?q=514+u.s.+300&amp;btnG=&amp;hl=en&amp;as_sdt=6" TargetMode="External"/><Relationship Id="rId124" Type="http://schemas.openxmlformats.org/officeDocument/2006/relationships/hyperlink" Target="http://scholar.google.com/scholar?q=517+f.3d+52&amp;btnG=&amp;hl=en&amp;as_sdt=6" TargetMode="External"/><Relationship Id="rId70" Type="http://schemas.openxmlformats.org/officeDocument/2006/relationships/hyperlink" Target="http://scholar.google.com/scholar?q=945+f.3d+126&amp;btnG=&amp;hl=en&amp;as_sdt=6" TargetMode="External"/><Relationship Id="rId91" Type="http://schemas.openxmlformats.org/officeDocument/2006/relationships/hyperlink" Target="http://scholar.google.com/scholar?q=980+f.2d+110&amp;btnG=&amp;hl=en&amp;as_sdt=6" TargetMode="External"/><Relationship Id="rId145" Type="http://schemas.openxmlformats.org/officeDocument/2006/relationships/hyperlink" Target="http://www.google.com/search?q=11+u.s.c.++522(b)(3)(a)" TargetMode="External"/><Relationship Id="rId166" Type="http://schemas.openxmlformats.org/officeDocument/2006/relationships/hyperlink" Target="http://scholar.google.com/scholar?q=521+u.s.+591&amp;btnG=&amp;hl=en&amp;as_sdt=6" TargetMode="External"/><Relationship Id="rId187" Type="http://schemas.openxmlformats.org/officeDocument/2006/relationships/hyperlink" Target="http://scholar.google.com/scholar?q=592+b.r.+489&amp;btnG=&amp;hl=en&amp;as_sdt=6" TargetMode="External"/><Relationship Id="rId1" Type="http://schemas.openxmlformats.org/officeDocument/2006/relationships/customXml" Target="../customXml/item1.xml"/><Relationship Id="rId212" Type="http://schemas.openxmlformats.org/officeDocument/2006/relationships/hyperlink" Target="http://www.google.com/search?q=11+u.s.c.+523(4)" TargetMode="External"/><Relationship Id="rId233" Type="http://schemas.openxmlformats.org/officeDocument/2006/relationships/hyperlink" Target="http://scholar.google.com/scholar?q=416+f.+3d+136&amp;btnG=&amp;hl=en&amp;as_sdt=6" TargetMode="External"/><Relationship Id="rId254" Type="http://schemas.openxmlformats.org/officeDocument/2006/relationships/header" Target="header1.xml"/><Relationship Id="rId28" Type="http://schemas.openxmlformats.org/officeDocument/2006/relationships/hyperlink" Target="http://scholar.google.com/scholar?q=478+f.+3d+452&amp;btnG=&amp;hl=en&amp;as_sdt=6" TargetMode="External"/><Relationship Id="rId49" Type="http://schemas.openxmlformats.org/officeDocument/2006/relationships/hyperlink" Target="http://scholar.google.com/scholar?q=882+f.3d+333&amp;btnG=&amp;hl=en&amp;as_sdt=6" TargetMode="External"/><Relationship Id="rId114" Type="http://schemas.openxmlformats.org/officeDocument/2006/relationships/hyperlink" Target="http://scholar.google.com/scholar?q=517+f.3d+52&amp;btnG=&amp;hl=en&amp;as_sdt=6" TargetMode="External"/><Relationship Id="rId60" Type="http://schemas.openxmlformats.org/officeDocument/2006/relationships/hyperlink" Target="http://scholar.google.com/scholar?q=564+u.s.+462&amp;btnG=&amp;hl=en&amp;as_sdt=6" TargetMode="External"/><Relationship Id="rId81" Type="http://schemas.openxmlformats.org/officeDocument/2006/relationships/hyperlink" Target="http://scholar.google.com/scholar?q=305++u.s.+165&amp;btnG=&amp;hl=en&amp;as_sdt=6" TargetMode="External"/><Relationship Id="rId135" Type="http://schemas.openxmlformats.org/officeDocument/2006/relationships/hyperlink" Target="http://scholar.google.com/scholar?q=837++f.2d+89&amp;btnG=&amp;hl=en&amp;as_sdt=6" TargetMode="External"/><Relationship Id="rId156" Type="http://schemas.openxmlformats.org/officeDocument/2006/relationships/hyperlink" Target="http://www.google.com/search?q=28+u.s.c.++157(d)" TargetMode="External"/><Relationship Id="rId177" Type="http://schemas.openxmlformats.org/officeDocument/2006/relationships/hyperlink" Target="http://scholar.google.com/scholar?q=416+f.+3d+136&amp;btnG=&amp;hl=en&amp;as_sdt=6" TargetMode="External"/><Relationship Id="rId198" Type="http://schemas.openxmlformats.org/officeDocument/2006/relationships/hyperlink" Target="http://www.google.com/search?q=11+u.s.c.++524(g)" TargetMode="External"/><Relationship Id="rId202" Type="http://schemas.openxmlformats.org/officeDocument/2006/relationships/hyperlink" Target="http://scholar.google.com/scholar?q=792+f.2d+1140&amp;btnG=&amp;hl=en&amp;as_sdt=6" TargetMode="External"/><Relationship Id="rId223" Type="http://schemas.openxmlformats.org/officeDocument/2006/relationships/hyperlink" Target="http://www.google.com/search?q=11+u.s.c.a.++1129" TargetMode="External"/><Relationship Id="rId244" Type="http://schemas.openxmlformats.org/officeDocument/2006/relationships/hyperlink" Target="http://scholar.google.com/scholar?q=495u.s.+545&amp;btnG=&amp;hl=en&amp;as_sdt=6" TargetMode="External"/><Relationship Id="rId18" Type="http://schemas.openxmlformats.org/officeDocument/2006/relationships/hyperlink" Target="https://www.westlaw.com/Link/Document/FullText?rs=USCLink&amp;vr=3.0&amp;findType=Y&amp;cite=2004%2Bwl%2B5840206&amp;refPos=5840206&amp;refPosType=s&amp;clientid=USCourts" TargetMode="External"/><Relationship Id="rId39" Type="http://schemas.openxmlformats.org/officeDocument/2006/relationships/hyperlink" Target="http://scholar.google.com/scholar?q=519+f.+3d+640&amp;btnG=&amp;hl=en&amp;as_sdt=6" TargetMode="External"/><Relationship Id="rId50" Type="http://schemas.openxmlformats.org/officeDocument/2006/relationships/hyperlink" Target="http://www.google.com/search?q=28++u.s.c.++++158(a)" TargetMode="External"/><Relationship Id="rId104" Type="http://schemas.openxmlformats.org/officeDocument/2006/relationships/hyperlink" Target="http://scholar.google.com/scholar?q=980+f.2d+110&amp;btnG=&amp;hl=en&amp;as_sdt=6" TargetMode="External"/><Relationship Id="rId125" Type="http://schemas.openxmlformats.org/officeDocument/2006/relationships/hyperlink" Target="http://scholar.google.com/scholar?q=837+f.2d+89&amp;btnG=&amp;hl=en&amp;as_sdt=6" TargetMode="External"/><Relationship Id="rId146" Type="http://schemas.openxmlformats.org/officeDocument/2006/relationships/hyperlink" Target="http://scholar.google.com/scholar?q=571+u.s.+415&amp;btnG=&amp;hl=en&amp;as_sdt=6" TargetMode="External"/><Relationship Id="rId167" Type="http://schemas.openxmlformats.org/officeDocument/2006/relationships/hyperlink" Target="http://scholar.google.com/scholar?q=527+u.s.+815&amp;btnG=&amp;hl=en&amp;as_sdt=6" TargetMode="External"/><Relationship Id="rId188" Type="http://schemas.openxmlformats.org/officeDocument/2006/relationships/hyperlink" Target="http://scholar.google.com/scholar?q=792+f.+app%c3%bd%c3%bd%c3%bdx+99&amp;btnG=&amp;hl=en&amp;as_sdt=6" TargetMode="External"/><Relationship Id="rId71" Type="http://schemas.openxmlformats.org/officeDocument/2006/relationships/hyperlink" Target="http://scholar.google.com/scholar?q=945+f.3d+126&amp;btnG=&amp;hl=en&amp;as_sdt=6" TargetMode="External"/><Relationship Id="rId92" Type="http://schemas.openxmlformats.org/officeDocument/2006/relationships/hyperlink" Target="http://scholar.google.com/scholar?q=639+f.3d+572&amp;btnG=&amp;hl=en&amp;as_sdt=6" TargetMode="External"/><Relationship Id="rId213" Type="http://schemas.openxmlformats.org/officeDocument/2006/relationships/hyperlink" Target="http://www.google.com/search?q=11+u.s.c.+523(6)" TargetMode="External"/><Relationship Id="rId234" Type="http://schemas.openxmlformats.org/officeDocument/2006/relationships/hyperlink" Target="http://scholar.google.com/scholar?q=416+f.+3d+136&amp;btnG=&amp;hl=en&amp;as_sdt=6" TargetMode="External"/><Relationship Id="rId2" Type="http://schemas.openxmlformats.org/officeDocument/2006/relationships/customXml" Target="../customXml/item2.xml"/><Relationship Id="rId29" Type="http://schemas.openxmlformats.org/officeDocument/2006/relationships/hyperlink" Target="http://scholar.google.com/scholar?q=514+u.s.+300&amp;btnG=&amp;hl=en&amp;as_sdt=6" TargetMode="External"/><Relationship Id="rId255" Type="http://schemas.openxmlformats.org/officeDocument/2006/relationships/header" Target="header2.xml"/><Relationship Id="rId40" Type="http://schemas.openxmlformats.org/officeDocument/2006/relationships/hyperlink" Target="https://www.westlaw.com/Link/Document/FullText?rs=USCLink&amp;vr=3.0&amp;findType=Y&amp;cite=2021%2Bwl%2B4240974&amp;refPos=4240974&amp;refPosType=s&amp;clientid=USCourts" TargetMode="External"/><Relationship Id="rId115" Type="http://schemas.openxmlformats.org/officeDocument/2006/relationships/hyperlink" Target="http://scholar.google.com/scholar?q=517+f.3d+52&amp;btnG=&amp;hl=en&amp;as_sdt=6" TargetMode="External"/><Relationship Id="rId136" Type="http://schemas.openxmlformats.org/officeDocument/2006/relationships/hyperlink" Target="http://www.google.com/search?q=11+u.s.c.++524(g)(b)(i)(i))" TargetMode="External"/><Relationship Id="rId157" Type="http://schemas.openxmlformats.org/officeDocument/2006/relationships/hyperlink" Target="http://scholar.google.com/scholar?q=960+f.+2d+285&amp;btnG=&amp;hl=en&amp;as_sdt=6" TargetMode="External"/><Relationship Id="rId178" Type="http://schemas.openxmlformats.org/officeDocument/2006/relationships/hyperlink" Target="http://scholar.google.com/scholar?q=416+f.+3d+136&amp;btnG=&amp;hl=en&amp;as_sdt=6" TargetMode="External"/><Relationship Id="rId61" Type="http://schemas.openxmlformats.org/officeDocument/2006/relationships/hyperlink" Target="http://scholar.google.com/scholar?q=59+u.s.+272&amp;btnG=&amp;hl=en&amp;as_sdt=6" TargetMode="External"/><Relationship Id="rId82" Type="http://schemas.openxmlformats.org/officeDocument/2006/relationships/hyperlink" Target="http://scholar.google.com/scholar?q=557+u.s.+137&amp;btnG=&amp;hl=en&amp;as_sdt=6" TargetMode="External"/><Relationship Id="rId199" Type="http://schemas.openxmlformats.org/officeDocument/2006/relationships/hyperlink" Target="http://scholar.google.com/scholar?q=391++f.3d+190&amp;btnG=&amp;hl=en&amp;as_sdt=6" TargetMode="External"/><Relationship Id="rId203" Type="http://schemas.openxmlformats.org/officeDocument/2006/relationships/hyperlink" Target="http://scholar.google.com/scholar?q=760+f.3d++344&amp;btnG=&amp;hl=en&amp;as_sdt=6" TargetMode="External"/><Relationship Id="rId19" Type="http://schemas.openxmlformats.org/officeDocument/2006/relationships/hyperlink" Target="http://scholar.google.com/scholar?q=821+n.e.2d+141&amp;btnG=&amp;hl=en&amp;as_sdt=6" TargetMode="External"/><Relationship Id="rId224" Type="http://schemas.openxmlformats.org/officeDocument/2006/relationships/hyperlink" Target="http://scholar.google.com/scholar?q=566+u.s.+639&amp;btnG=&amp;hl=en&amp;as_sdt=6" TargetMode="External"/><Relationship Id="rId245" Type="http://schemas.openxmlformats.org/officeDocument/2006/relationships/hyperlink" Target="http://scholar.google.com/scholar?q=495u.s.+545&amp;btnG=&amp;hl=en&amp;as_sdt=6" TargetMode="External"/><Relationship Id="rId30" Type="http://schemas.openxmlformats.org/officeDocument/2006/relationships/hyperlink" Target="http://scholar.google.com/scholar?q=882+f.+3d+333&amp;btnG=&amp;hl=en&amp;as_sdt=6" TargetMode="External"/><Relationship Id="rId105" Type="http://schemas.openxmlformats.org/officeDocument/2006/relationships/hyperlink" Target="https://www.westlaw.com/Link/Document/FullText?rs=USCLink&amp;vr=3.0&amp;findType=Y&amp;cite=2021%2Bwl%2B4240974&amp;refPos=4240974&amp;refPosType=s&amp;clientid=USCourts" TargetMode="External"/><Relationship Id="rId126" Type="http://schemas.openxmlformats.org/officeDocument/2006/relationships/hyperlink" Target="http://scholar.google.com/scholar?q=40+f.3d++90&amp;btnG=&amp;hl=en&amp;as_sdt=6" TargetMode="External"/><Relationship Id="rId147" Type="http://schemas.openxmlformats.org/officeDocument/2006/relationships/hyperlink" Target="http://www.google.com/search?q=11++u.s.c.++++105(a)" TargetMode="External"/><Relationship Id="rId168" Type="http://schemas.openxmlformats.org/officeDocument/2006/relationships/hyperlink" Target="http://scholar.google.com/scholar?q=351+f.+3d+86&amp;btnG=&amp;hl=en&amp;as_sdt=6" TargetMode="External"/><Relationship Id="rId51" Type="http://schemas.openxmlformats.org/officeDocument/2006/relationships/hyperlink" Target="http://scholar.google.com/scholar?q=829+f.3d+135&amp;btnG=&amp;hl=en&amp;as_sdt=6" TargetMode="External"/><Relationship Id="rId72" Type="http://schemas.openxmlformats.org/officeDocument/2006/relationships/hyperlink" Target="http://scholar.google.com/scholar?q=564+u.s.+497&amp;btnG=&amp;hl=en&amp;as_sdt=6" TargetMode="External"/><Relationship Id="rId93" Type="http://schemas.openxmlformats.org/officeDocument/2006/relationships/hyperlink" Target="http://scholar.google.com/scholar?q=882+f.3d+333&amp;btnG=&amp;hl=en&amp;as_sdt=6" TargetMode="External"/><Relationship Id="rId189" Type="http://schemas.openxmlformats.org/officeDocument/2006/relationships/hyperlink" Target="http://scholar.google.com/scholar?q=592+b.r.+489&amp;btnG=&amp;hl=en&amp;as_sdt=6" TargetMode="External"/><Relationship Id="rId3" Type="http://schemas.openxmlformats.org/officeDocument/2006/relationships/numbering" Target="numbering.xml"/><Relationship Id="rId214" Type="http://schemas.openxmlformats.org/officeDocument/2006/relationships/hyperlink" Target="http://scholar.google.com/scholar?q=538+u.s.+314&amp;btnG=&amp;hl=en&amp;as_sdt=6" TargetMode="External"/><Relationship Id="rId235" Type="http://schemas.openxmlformats.org/officeDocument/2006/relationships/hyperlink" Target="http://scholar.google.com/scholar?q=504+u.s.+384&amp;btnG=&amp;hl=en&amp;as_sdt=6" TargetMode="External"/><Relationship Id="rId256" Type="http://schemas.openxmlformats.org/officeDocument/2006/relationships/footer" Target="footer1.xml"/><Relationship Id="rId116" Type="http://schemas.openxmlformats.org/officeDocument/2006/relationships/hyperlink" Target="http://www.google.com/search?q=ca+ins+s+533.5" TargetMode="External"/><Relationship Id="rId137" Type="http://schemas.openxmlformats.org/officeDocument/2006/relationships/hyperlink" Target="http://www.google.com/search?q=11+u.s.c.++524(h)" TargetMode="External"/><Relationship Id="rId158" Type="http://schemas.openxmlformats.org/officeDocument/2006/relationships/hyperlink" Target="http://scholar.google.com/scholar?q=960+f.+2d+285&amp;btnG=&amp;hl=en&amp;as_sdt=6" TargetMode="External"/><Relationship Id="rId20" Type="http://schemas.openxmlformats.org/officeDocument/2006/relationships/hyperlink" Target="https://www.westlaw.com/Link/Document/FullText?rs=USCLink&amp;vr=3.0&amp;findType=Y&amp;cite=2005%2Bwl%2B192351&amp;refPos=192351&amp;refPosType=s&amp;clientid=USCourts" TargetMode="External"/><Relationship Id="rId41" Type="http://schemas.openxmlformats.org/officeDocument/2006/relationships/hyperlink" Target="http://scholar.google.com/scholar?q=676+f.3d+45&amp;btnG=&amp;hl=en&amp;as_sdt=6" TargetMode="External"/><Relationship Id="rId62" Type="http://schemas.openxmlformats.org/officeDocument/2006/relationships/hyperlink" Target="http://scholar.google.com/scholar?q=564+u.s.+499&amp;btnG=&amp;hl=en&amp;as_sdt=6" TargetMode="External"/><Relationship Id="rId83" Type="http://schemas.openxmlformats.org/officeDocument/2006/relationships/hyperlink" Target="http://www.google.com/search?q=11+u.s.c.++157(c)(1)" TargetMode="External"/><Relationship Id="rId179" Type="http://schemas.openxmlformats.org/officeDocument/2006/relationships/hyperlink" Target="http://scholar.google.com/scholar?q=416+f.+3d+136&amp;btnG=&amp;hl=en&amp;as_sdt=6" TargetMode="External"/><Relationship Id="rId190" Type="http://schemas.openxmlformats.org/officeDocument/2006/relationships/hyperlink" Target="http://scholar.google.com/scholar?q=584+f.3d+229&amp;btnG=&amp;hl=en&amp;as_sdt=6" TargetMode="External"/><Relationship Id="rId204" Type="http://schemas.openxmlformats.org/officeDocument/2006/relationships/hyperlink" Target="http://scholar.google.com/scholar?q=760+f.3d++344&amp;btnG=&amp;hl=en&amp;as_sdt=6" TargetMode="External"/><Relationship Id="rId225" Type="http://schemas.openxmlformats.org/officeDocument/2006/relationships/hyperlink" Target="http://scholar.google.com/scholar?q=236+f.3d+117&amp;btnG=&amp;hl=en&amp;as_sdt=6" TargetMode="External"/><Relationship Id="rId246" Type="http://schemas.openxmlformats.org/officeDocument/2006/relationships/hyperlink" Target="http://scholar.google.com/scholar?q=495+u.s.+499&amp;btnG=&amp;hl=en&amp;as_sdt=6" TargetMode="External"/><Relationship Id="rId106" Type="http://schemas.openxmlformats.org/officeDocument/2006/relationships/hyperlink" Target="http://scholar.google.com/scholar?q=882+f.3d+341&amp;btnG=&amp;hl=en&amp;as_sdt=6" TargetMode="External"/><Relationship Id="rId127" Type="http://schemas.openxmlformats.org/officeDocument/2006/relationships/hyperlink" Target="http://scholar.google.com/scholar?q=40+f.3d++90&amp;btnG=&amp;hl=en&amp;as_sdt=6" TargetMode="External"/><Relationship Id="rId10" Type="http://schemas.openxmlformats.org/officeDocument/2006/relationships/hyperlink" Target="http://scholar.google.com/scholar?q=295++f.++supp.++2d++693&amp;btnG=&amp;hl=en&amp;as_sdt=6" TargetMode="External"/><Relationship Id="rId31" Type="http://schemas.openxmlformats.org/officeDocument/2006/relationships/hyperlink" Target="http://www.google.com/search?q=28+u.s.c.++1334(b)" TargetMode="External"/><Relationship Id="rId52" Type="http://schemas.openxmlformats.org/officeDocument/2006/relationships/hyperlink" Target="http://scholar.google.com/scholar?q=829+f.3d+135&amp;btnG=&amp;hl=en&amp;as_sdt=6" TargetMode="External"/><Relationship Id="rId73" Type="http://schemas.openxmlformats.org/officeDocument/2006/relationships/hyperlink" Target="http://scholar.google.com/scholar?q=564++u.s.+499&amp;btnG=&amp;hl=en&amp;as_sdt=6" TargetMode="External"/><Relationship Id="rId94" Type="http://schemas.openxmlformats.org/officeDocument/2006/relationships/hyperlink" Target="http://scholar.google.com/scholar?q=517+f.3d+52&amp;btnG=&amp;hl=en&amp;as_sdt=6" TargetMode="External"/><Relationship Id="rId148" Type="http://schemas.openxmlformats.org/officeDocument/2006/relationships/hyperlink" Target="http://scholar.google.com/scholar?q=571+u.s.+415&amp;btnG=&amp;hl=en&amp;as_sdt=6" TargetMode="External"/><Relationship Id="rId169" Type="http://schemas.openxmlformats.org/officeDocument/2006/relationships/hyperlink" Target="http://scholar.google.com/scholar?q=351+f.+3d+86&amp;btnG=&amp;hl=en&amp;as_sdt=6" TargetMode="External"/><Relationship Id="rId4" Type="http://schemas.openxmlformats.org/officeDocument/2006/relationships/styles" Target="styles.xml"/><Relationship Id="rId180" Type="http://schemas.openxmlformats.org/officeDocument/2006/relationships/hyperlink" Target="http://scholar.google.com/scholar?q=676+f.3d+45&amp;btnG=&amp;hl=en&amp;as_sdt=6" TargetMode="External"/><Relationship Id="rId215" Type="http://schemas.openxmlformats.org/officeDocument/2006/relationships/hyperlink" Target="http://scholar.google.com/scholar?q=519+f.3d+640&amp;btnG=&amp;hl=en&amp;as_sdt=6" TargetMode="External"/><Relationship Id="rId236" Type="http://schemas.openxmlformats.org/officeDocument/2006/relationships/hyperlink" Target="http://www.google.com/search?q=11+u.s.c.++1129(b)(2)(a)(ii)" TargetMode="External"/><Relationship Id="rId257" Type="http://schemas.openxmlformats.org/officeDocument/2006/relationships/footer" Target="footer2.xml"/><Relationship Id="rId42" Type="http://schemas.openxmlformats.org/officeDocument/2006/relationships/hyperlink" Target="https://www.westlaw.com/Link/Document/FullText?rs=USCLink&amp;vr=3.0&amp;findType=Y&amp;cite=2021%2Bwl%2B4240974&amp;refPos=4240974&amp;refPosType=s&amp;clientid=USCourts" TargetMode="External"/><Relationship Id="rId84" Type="http://schemas.openxmlformats.org/officeDocument/2006/relationships/hyperlink" Target="http://scholar.google.com/scholar?q=564+u.s.+475&amp;btnG=&amp;hl=en&amp;as_sdt=6" TargetMode="External"/><Relationship Id="rId138" Type="http://schemas.openxmlformats.org/officeDocument/2006/relationships/hyperlink" Target="http://scholar.google.com/scholar?q=960+f.+2d+285&amp;btnG=&amp;hl=en&amp;as_sdt=6"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google.com/search?q=28++u.s.c.++++586(a)(3)(b))" TargetMode="External"/><Relationship Id="rId13" Type="http://schemas.openxmlformats.org/officeDocument/2006/relationships/hyperlink" Target="https://www.nytimes.com/2019/07/17/arts/design/sackler-family-louvre.html" TargetMode="External"/><Relationship Id="rId18" Type="http://schemas.openxmlformats.org/officeDocument/2006/relationships/hyperlink" Target="http://scholar.google.com/scholar?q=792++f.++app%c3%bd%c3%bd%c3%bdx++99&amp;btnG=&amp;hl=en&amp;as_sdt=6" TargetMode="External"/><Relationship Id="rId26" Type="http://schemas.openxmlformats.org/officeDocument/2006/relationships/hyperlink" Target="http://scholar.google.com/scholar?q=600++f.++3d++152&amp;btnG=&amp;hl=en&amp;as_sdt=6" TargetMode="External"/><Relationship Id="rId3" Type="http://schemas.openxmlformats.org/officeDocument/2006/relationships/hyperlink" Target="https://nysd-ecf.sso.dcn/n/cmecfservices/rest/file/finddoc?caseYear=2021&amp;caseNum=08557&amp;caseType=cv&amp;caseOffice=7&amp;docNum=91%23page=8" TargetMode="External"/><Relationship Id="rId21" Type="http://schemas.openxmlformats.org/officeDocument/2006/relationships/hyperlink" Target="http://scholar.google.com/scholar?q=966++f.2d++57&amp;btnG=&amp;hl=en&amp;as_sdt=6" TargetMode="External"/><Relationship Id="rId7" Type="http://schemas.openxmlformats.org/officeDocument/2006/relationships/hyperlink" Target="https://nysd-ecf.sso.dcn/n/cmecfservices/rest/file/finddoc?caseYear=2021&amp;caseNum=08557&amp;caseType=cv&amp;caseOffice=7&amp;docNum=91%23page=28" TargetMode="External"/><Relationship Id="rId12" Type="http://schemas.openxmlformats.org/officeDocument/2006/relationships/hyperlink" Target="https://nysd-ecf.sso.dcn/n/cmecfservices/rest/file/finddoc?caseYear=2021&amp;caseNum=08557&amp;caseType=cv&amp;caseOffice=7&amp;docNum=241%23page=6" TargetMode="External"/><Relationship Id="rId17" Type="http://schemas.openxmlformats.org/officeDocument/2006/relationships/hyperlink" Target="http://scholar.google.com/scholar?q=594+b.r.+489&amp;btnG=&amp;hl=en&amp;as_sdt=6" TargetMode="External"/><Relationship Id="rId25" Type="http://schemas.openxmlformats.org/officeDocument/2006/relationships/hyperlink" Target="http://scholar.google.com/scholar?q=517++f.3d++66&amp;btnG=&amp;hl=en&amp;as_sdt=6" TargetMode="External"/><Relationship Id="rId2" Type="http://schemas.openxmlformats.org/officeDocument/2006/relationships/hyperlink" Target="http://www.google.com/search?q=11++u.s.c.++++307" TargetMode="External"/><Relationship Id="rId16" Type="http://schemas.openxmlformats.org/officeDocument/2006/relationships/hyperlink" Target="https://www.westlaw.com/Link/Document/FullText?rs=USCLink&amp;vr=3.0&amp;findType=Y&amp;cite=2021%2B%2Bwl%2B%2B4240974&amp;refPos=4240974&amp;refPosType=s&amp;clientid=USCourts" TargetMode="External"/><Relationship Id="rId20" Type="http://schemas.openxmlformats.org/officeDocument/2006/relationships/hyperlink" Target="https://www.westlaw.com/Link/Document/FullText?rs=USCLink&amp;vr=3.0&amp;findType=Y&amp;cite=2021%2Bwl%2B4240974&amp;refPos=4240974&amp;refPosType=s&amp;clientid=USCourts" TargetMode="External"/><Relationship Id="rId29" Type="http://schemas.openxmlformats.org/officeDocument/2006/relationships/hyperlink" Target="http://www.google.com/search?q=11+u.s.c.++507(a)(7)" TargetMode="External"/><Relationship Id="rId1" Type="http://schemas.openxmlformats.org/officeDocument/2006/relationships/hyperlink" Target="http://www.google.com/search?q=11++u.s.c.++++1126" TargetMode="External"/><Relationship Id="rId6" Type="http://schemas.openxmlformats.org/officeDocument/2006/relationships/hyperlink" Target="https://nysd-ecf.sso.dcn/n/cmecfservices/rest/file/finddoc?caseYear=2021&amp;caseNum=08557&amp;caseType=cv&amp;caseOffice=7&amp;docNum=91%23page=581" TargetMode="External"/><Relationship Id="rId11" Type="http://schemas.openxmlformats.org/officeDocument/2006/relationships/hyperlink" Target="https://www.theglobeandmail.com/canada/article-provinces-plan-legal-push-against-purdue-pharma-in-wake-of-us-" TargetMode="External"/><Relationship Id="rId24" Type="http://schemas.openxmlformats.org/officeDocument/2006/relationships/hyperlink" Target="http://scholar.google.com/scholar?q=416+f.+3d+136&amp;btnG=&amp;hl=en&amp;as_sdt=6" TargetMode="External"/><Relationship Id="rId5" Type="http://schemas.openxmlformats.org/officeDocument/2006/relationships/hyperlink" Target="http://www.google.com/search?q=28++u.s.c.++++581" TargetMode="External"/><Relationship Id="rId15" Type="http://schemas.openxmlformats.org/officeDocument/2006/relationships/hyperlink" Target="https://www.westlaw.com/Link/Document/FullText?rs=USCLink&amp;vr=3.0&amp;findType=Y&amp;cite=2021%2B%2Bwl%2B%2B4240974&amp;refPos=4240974&amp;refPosType=s&amp;clientid=USCourts" TargetMode="External"/><Relationship Id="rId23" Type="http://schemas.openxmlformats.org/officeDocument/2006/relationships/hyperlink" Target="http://www.google.com/search?q=(1988))" TargetMode="External"/><Relationship Id="rId28" Type="http://schemas.openxmlformats.org/officeDocument/2006/relationships/hyperlink" Target="http://scholar.google.com/scholar?q=495+u.s.+545&amp;btnG=&amp;hl=en&amp;as_sdt=6" TargetMode="External"/><Relationship Id="rId10" Type="http://schemas.openxmlformats.org/officeDocument/2006/relationships/hyperlink" Target="http://www.google.com/search?q=28++u.s.c.++++586(a)(3)(b))" TargetMode="External"/><Relationship Id="rId19" Type="http://schemas.openxmlformats.org/officeDocument/2006/relationships/hyperlink" Target="https://www.westlaw.com/Link/Document/FullText?rs=USCLink&amp;vr=3.0&amp;findType=Y&amp;cite=2021%2Bwl%2B4240974&amp;refPos=4240974&amp;refPosType=s&amp;clientid=USCourts" TargetMode="External"/><Relationship Id="rId31" Type="http://schemas.openxmlformats.org/officeDocument/2006/relationships/hyperlink" Target="http://www.google.com/search?q=11++u.s.c.++++1129(a)(9)(c)" TargetMode="External"/><Relationship Id="rId4" Type="http://schemas.openxmlformats.org/officeDocument/2006/relationships/hyperlink" Target="https://nysd-ecf.sso.dcn/n/cmecfservices/rest/file/finddoc?caseYear=2021&amp;caseNum=08557&amp;caseType=cv&amp;caseOffice=7&amp;docNum=91%23page=28" TargetMode="External"/><Relationship Id="rId9" Type="http://schemas.openxmlformats.org/officeDocument/2006/relationships/hyperlink" Target="https://nysd-ecf.sso.dcn/n/cmecfservices/rest/file/finddoc?caseYear=2021&amp;caseNum=08557&amp;caseType=cv&amp;caseOffice=7&amp;docNum=91%23page=586" TargetMode="External"/><Relationship Id="rId14" Type="http://schemas.openxmlformats.org/officeDocument/2006/relationships/hyperlink" Target="https://www.nytimes.com/2021/12/09/arts/design/met-museum-sackler-wing.html" TargetMode="External"/><Relationship Id="rId22" Type="http://schemas.openxmlformats.org/officeDocument/2006/relationships/hyperlink" Target="http://scholar.google.com/scholar?q=485++u.s.++197&amp;btnG=&amp;hl=en&amp;as_sdt=6" TargetMode="External"/><Relationship Id="rId27" Type="http://schemas.openxmlformats.org/officeDocument/2006/relationships/hyperlink" Target="http://scholar.google.com/scholar?q=676++f.3d++45&amp;btnG=&amp;hl=en&amp;as_sdt=6" TargetMode="External"/><Relationship Id="rId30" Type="http://schemas.openxmlformats.org/officeDocument/2006/relationships/hyperlink" Target="http://www.google.com/search?q=11+u.s.c.+523(a)(1)(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liThemeFontSchem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 B R M A T T E R S ! 1 2 9 6 2 4 5 9 0 . 2 < / d o c u m e n t i d >  
     < s e n d e r i d > S C H A E D L E < / s e n d e r i d >  
     < s e n d e r e m a i l > m i k e . s c h a e d l e @ b l a n k r o m e . c o m < / s e n d e r e m a i l >  
     < l a s t m o d i f i e d > 2 0 2 2 - 1 0 - 2 6 T 1 3 : 0 5 : 0 0 . 0 0 0 0 0 0 0 - 0 4 : 0 0 < / l a s t m o d i f i e d >  
     < d a t a b a s e > B R M A T T E R S < / d a t a b a s e >  
 < / p r o p e r t i e s > 
</file>

<file path=customXml/itemProps1.xml><?xml version="1.0" encoding="utf-8"?>
<ds:datastoreItem xmlns:ds="http://schemas.openxmlformats.org/officeDocument/2006/customXml" ds:itemID="{A7D4F426-791A-453B-B3EE-768772D6C7FE}">
  <ds:schemaRefs>
    <ds:schemaRef ds:uri="http://schemas.openxmlformats.org/officeDocument/2006/bibliography"/>
  </ds:schemaRefs>
</ds:datastoreItem>
</file>

<file path=customXml/itemProps2.xml><?xml version="1.0" encoding="utf-8"?>
<ds:datastoreItem xmlns:ds="http://schemas.openxmlformats.org/officeDocument/2006/customXml" ds:itemID="{FE9A81C2-9045-407E-9A0A-B6537DAD538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Pages>
  <Words>31621</Words>
  <Characters>229255</Characters>
  <Application>Microsoft Office Word</Application>
  <DocSecurity>0</DocSecurity>
  <Lines>9967</Lines>
  <Paragraphs>10869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 Services</dc:creator>
  <cp:keywords/>
  <dc:description/>
  <cp:lastModifiedBy>Schaedle, Mike</cp:lastModifiedBy>
  <cp:revision>14</cp:revision>
  <dcterms:created xsi:type="dcterms:W3CDTF">2022-10-19T19:45:00Z</dcterms:created>
  <dcterms:modified xsi:type="dcterms:W3CDTF">2022-10-26T17:05:00Z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919000.10002/129624590v.2</vt:lpwstr>
  </property>
</Properties>
</file>